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7EFBEF" w14:textId="6D24DCF2" w:rsidR="00B44C9A" w:rsidRPr="003D22BA" w:rsidRDefault="00B44C9A" w:rsidP="581F9196">
      <w:pPr>
        <w:shd w:val="clear" w:color="auto" w:fill="FFFFFF" w:themeFill="background1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O</w:t>
      </w:r>
      <w:r w:rsidR="003D18E7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perational </w:t>
      </w:r>
      <w:r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E</w:t>
      </w:r>
      <w:r w:rsidR="003D18E7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nergy </w:t>
      </w:r>
      <w:r w:rsidR="002C04B6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–</w:t>
      </w:r>
      <w:r w:rsidR="00C465A1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Innovation</w:t>
      </w:r>
      <w:r w:rsidR="002C04B6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(OE-I)</w:t>
      </w:r>
      <w:r w:rsidR="003D18E7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276D42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Directorate </w:t>
      </w:r>
      <w:r w:rsidR="001B1FCE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6.3</w:t>
      </w:r>
      <w:r w:rsidR="00985F7D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&amp; 6.4 </w:t>
      </w:r>
      <w:r w:rsidR="003D18E7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Research, </w:t>
      </w:r>
      <w:r w:rsidR="00320AE7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Development, Test &amp; Evaluation (</w:t>
      </w:r>
      <w:r w:rsidR="001B1FCE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RDT&amp;E</w:t>
      </w:r>
      <w:r w:rsidR="00320AE7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)</w:t>
      </w:r>
      <w:r w:rsidR="001B1FCE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Program</w:t>
      </w:r>
      <w:r w:rsidR="00985F7D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s</w:t>
      </w:r>
      <w:r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872E54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Continuous/Open Solicitation</w:t>
      </w:r>
      <w:r w:rsidR="388779D3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Announcement</w:t>
      </w:r>
    </w:p>
    <w:p w14:paraId="4E93C32F" w14:textId="6FC77280" w:rsidR="00B44C9A" w:rsidRDefault="00B44C9A" w:rsidP="6A976F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Solicitation Type:</w:t>
      </w:r>
      <w:r w:rsidR="003561D9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10FFC6DE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Continuous/Open</w:t>
      </w:r>
      <w:r>
        <w:br/>
      </w:r>
      <w:r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Target Audience:</w:t>
      </w:r>
      <w:r w:rsidR="003561D9"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Government Laboratories, Industry Partners, and Academic Researchers</w:t>
      </w:r>
    </w:p>
    <w:p w14:paraId="31284268" w14:textId="77777777" w:rsidR="002E52D6" w:rsidRDefault="002E52D6" w:rsidP="00B44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E1789B6" w14:textId="15F9BA09" w:rsidR="002E52D6" w:rsidRDefault="002E52D6" w:rsidP="581F9196">
      <w:pPr>
        <w:pStyle w:val="NormalWeb"/>
        <w:spacing w:before="0" w:beforeAutospacing="0" w:after="0" w:afterAutospacing="0"/>
        <w:rPr>
          <w:color w:val="1F1F1F"/>
        </w:rPr>
      </w:pPr>
      <w:r w:rsidRPr="581F9196">
        <w:rPr>
          <w:color w:val="1F1F1F"/>
        </w:rPr>
        <w:t xml:space="preserve">NOTE: This </w:t>
      </w:r>
      <w:r w:rsidR="004C3414" w:rsidRPr="581F9196">
        <w:rPr>
          <w:color w:val="1F1F1F"/>
        </w:rPr>
        <w:t>C</w:t>
      </w:r>
      <w:r w:rsidR="00875097" w:rsidRPr="581F9196">
        <w:rPr>
          <w:color w:val="1F1F1F"/>
        </w:rPr>
        <w:t>ontinuous/</w:t>
      </w:r>
      <w:r w:rsidR="004C3414" w:rsidRPr="581F9196">
        <w:rPr>
          <w:color w:val="1F1F1F"/>
        </w:rPr>
        <w:t>O</w:t>
      </w:r>
      <w:r w:rsidR="00875097" w:rsidRPr="581F9196">
        <w:rPr>
          <w:color w:val="1F1F1F"/>
        </w:rPr>
        <w:t xml:space="preserve">pen </w:t>
      </w:r>
      <w:r w:rsidR="004C3414" w:rsidRPr="581F9196">
        <w:rPr>
          <w:color w:val="1F1F1F"/>
        </w:rPr>
        <w:t>S</w:t>
      </w:r>
      <w:r w:rsidR="00875097" w:rsidRPr="581F9196">
        <w:rPr>
          <w:color w:val="1F1F1F"/>
        </w:rPr>
        <w:t>olicitation</w:t>
      </w:r>
      <w:r w:rsidRPr="581F9196">
        <w:rPr>
          <w:color w:val="1F1F1F"/>
        </w:rPr>
        <w:t xml:space="preserve"> is outside any </w:t>
      </w:r>
      <w:r w:rsidR="00D73CE7" w:rsidRPr="581F9196">
        <w:rPr>
          <w:color w:val="1F1F1F"/>
        </w:rPr>
        <w:t xml:space="preserve">of OE-I’s </w:t>
      </w:r>
      <w:r w:rsidR="004C3414" w:rsidRPr="581F9196">
        <w:rPr>
          <w:color w:val="1F1F1F"/>
        </w:rPr>
        <w:t>Call for Proposals or Targeted Request for Project Proposals.</w:t>
      </w:r>
      <w:r w:rsidR="3BE889DB" w:rsidRPr="581F9196">
        <w:rPr>
          <w:color w:val="1F1F1F"/>
        </w:rPr>
        <w:t xml:space="preserve"> (See Table </w:t>
      </w:r>
      <w:r w:rsidR="4A4F6BB1" w:rsidRPr="581F9196">
        <w:rPr>
          <w:color w:val="1F1F1F"/>
        </w:rPr>
        <w:t xml:space="preserve">1 </w:t>
      </w:r>
      <w:r w:rsidR="3BE889DB" w:rsidRPr="581F9196">
        <w:rPr>
          <w:color w:val="1F1F1F"/>
        </w:rPr>
        <w:t>Below)</w:t>
      </w:r>
    </w:p>
    <w:p w14:paraId="0E9E92E0" w14:textId="77777777" w:rsidR="006538F7" w:rsidRDefault="006538F7" w:rsidP="002E52D6">
      <w:pPr>
        <w:pStyle w:val="NormalWeb"/>
        <w:spacing w:before="0" w:beforeAutospacing="0" w:after="0" w:afterAutospacing="0"/>
        <w:rPr>
          <w:color w:val="1F1F1F"/>
        </w:rPr>
      </w:pPr>
    </w:p>
    <w:p w14:paraId="574A6000" w14:textId="77777777" w:rsidR="005B5949" w:rsidRPr="00A61CC8" w:rsidRDefault="005B5949" w:rsidP="00B44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5B3C73B" w14:textId="77777777" w:rsidR="00B44C9A" w:rsidRPr="00A61CC8" w:rsidRDefault="002B1086" w:rsidP="00B44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>
        <w:pict w14:anchorId="04F6AAF6">
          <v:rect id="Horizontal Line 1" o:spid="_x0000_s1030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CEEDE27" w14:textId="77777777" w:rsidR="00B44C9A" w:rsidRPr="00A61CC8" w:rsidRDefault="00B44C9A" w:rsidP="00B44C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1.0 Introduction</w:t>
      </w:r>
    </w:p>
    <w:p w14:paraId="6BD5111B" w14:textId="1BBAAA10" w:rsidR="003561D9" w:rsidRPr="00A61CC8" w:rsidRDefault="003561D9" w:rsidP="46524DD7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The OE-I Directorate operates in collaboration with the Services and Combatant Commands, seeding joint innovation efforts. Under the auspices of </w:t>
      </w:r>
      <w:r w:rsidR="00B216B7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Office of Under Secretary of War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, OE-I provides policy</w:t>
      </w:r>
      <w:r w:rsidR="4C4765A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oversight</w:t>
      </w:r>
      <w:r w:rsidR="11474D1F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and program management</w:t>
      </w:r>
      <w:r w:rsidR="53C36D1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for innovation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. OE-I embeds the warfighter’s voice into investment decisions, but that is not the only driver. Department-wide strategies, such as the National Defense Authorization Act and the National Defense Strategy, in addition to presidential executive orders</w:t>
      </w:r>
      <w:r w:rsidR="15A1E2B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 congressional interest items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inform investment decisions.</w:t>
      </w:r>
    </w:p>
    <w:p w14:paraId="5BB7E692" w14:textId="699E09EE" w:rsidR="001C42B8" w:rsidRDefault="00B216B7" w:rsidP="46524DD7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T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he DoW expands OE capabilities via focused </w:t>
      </w:r>
      <w:r w:rsidR="1FE767A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Research, Development, Test &amp; Evaluation (RDT&amp;E)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investments. The Operational Energy Capability Improvement Fund (OECIF) </w:t>
      </w:r>
      <w:r w:rsidR="00DA1FA3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6.3 </w:t>
      </w:r>
      <w:r w:rsidR="51330FF3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Science &amp; Technology (</w:t>
      </w:r>
      <w:r w:rsidR="5340DAE8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S&amp;T</w:t>
      </w:r>
      <w:r w:rsidR="478E844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)</w:t>
      </w:r>
      <w:r w:rsidR="00DA1FA3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4F62CC57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(advanced technology development) </w:t>
      </w:r>
      <w:r w:rsidR="00160584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and Operational Energy Prototyp</w:t>
      </w:r>
      <w:r w:rsidR="00880D7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ing</w:t>
      </w:r>
      <w:r w:rsidR="00160584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Fund (OEPF) </w:t>
      </w:r>
      <w:r w:rsidR="00DA1FA3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6.4 </w:t>
      </w:r>
      <w:r w:rsidR="5CD5536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non-S&amp;T (test, demonstration, and validation)</w:t>
      </w:r>
      <w:r w:rsidR="00DA1FA3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160584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programs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invite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g</w:t>
      </w:r>
      <w:r w:rsidR="002D6F0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overnment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l</w:t>
      </w:r>
      <w:r w:rsidR="002D6F0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aboratories,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i</w:t>
      </w:r>
      <w:r w:rsidR="002D6F0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ndustry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p</w:t>
      </w:r>
      <w:r w:rsidR="002D6F0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artners, and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a</w:t>
      </w:r>
      <w:r w:rsidR="002D6F0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cademic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r</w:t>
      </w:r>
      <w:r w:rsidR="002D6F0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esearchers</w:t>
      </w:r>
      <w:r w:rsidR="00880D7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to submit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innovative ideas that align with this goal. </w:t>
      </w:r>
    </w:p>
    <w:p w14:paraId="59E877E4" w14:textId="77777777" w:rsidR="00095A47" w:rsidRDefault="00095A47" w:rsidP="001C42B8">
      <w:pPr>
        <w:pStyle w:val="NormalWeb"/>
        <w:spacing w:before="0" w:beforeAutospacing="0" w:after="0" w:afterAutospacing="0"/>
        <w:rPr>
          <w:color w:val="1F1F1F"/>
        </w:rPr>
      </w:pPr>
    </w:p>
    <w:p w14:paraId="2D95E93A" w14:textId="7E842170" w:rsidR="001C42B8" w:rsidRDefault="001C42B8" w:rsidP="581F9196">
      <w:pPr>
        <w:pStyle w:val="NormalWeb"/>
        <w:spacing w:before="0" w:beforeAutospacing="0" w:after="0" w:afterAutospacing="0"/>
        <w:rPr>
          <w:color w:val="1F1F1F"/>
        </w:rPr>
      </w:pPr>
      <w:r w:rsidRPr="46524DD7">
        <w:rPr>
          <w:color w:val="1F1F1F"/>
        </w:rPr>
        <w:t>The</w:t>
      </w:r>
      <w:r w:rsidR="00824884" w:rsidRPr="46524DD7">
        <w:rPr>
          <w:color w:val="1F1F1F"/>
        </w:rPr>
        <w:t xml:space="preserve"> OE-I Directorate </w:t>
      </w:r>
      <w:r w:rsidR="008B45F3" w:rsidRPr="46524DD7">
        <w:rPr>
          <w:color w:val="1F1F1F"/>
        </w:rPr>
        <w:t xml:space="preserve">hosts </w:t>
      </w:r>
      <w:r w:rsidRPr="46524DD7">
        <w:rPr>
          <w:color w:val="1F1F1F"/>
        </w:rPr>
        <w:t>three call types</w:t>
      </w:r>
      <w:r w:rsidR="00094E05" w:rsidRPr="46524DD7">
        <w:rPr>
          <w:color w:val="1F1F1F"/>
        </w:rPr>
        <w:t xml:space="preserve"> as outlined within </w:t>
      </w:r>
      <w:r w:rsidR="3B2174E1" w:rsidRPr="46524DD7">
        <w:rPr>
          <w:color w:val="1F1F1F"/>
        </w:rPr>
        <w:t>T</w:t>
      </w:r>
      <w:r w:rsidR="00094E05" w:rsidRPr="46524DD7">
        <w:rPr>
          <w:color w:val="1F1F1F"/>
        </w:rPr>
        <w:t xml:space="preserve">able </w:t>
      </w:r>
      <w:r w:rsidR="454ED55E" w:rsidRPr="46524DD7">
        <w:rPr>
          <w:color w:val="1F1F1F"/>
        </w:rPr>
        <w:t xml:space="preserve">1 </w:t>
      </w:r>
      <w:r w:rsidR="00094E05" w:rsidRPr="46524DD7">
        <w:rPr>
          <w:color w:val="1F1F1F"/>
        </w:rPr>
        <w:t xml:space="preserve">below. This announcement </w:t>
      </w:r>
      <w:r w:rsidRPr="46524DD7">
        <w:rPr>
          <w:color w:val="1F1F1F"/>
        </w:rPr>
        <w:t xml:space="preserve">is for the </w:t>
      </w:r>
      <w:r w:rsidR="00095A47" w:rsidRPr="46524DD7">
        <w:rPr>
          <w:b/>
          <w:bCs/>
          <w:color w:val="1F1F1F"/>
        </w:rPr>
        <w:t>Continuous/Open Solicitation</w:t>
      </w:r>
      <w:r w:rsidR="12AE6F46" w:rsidRPr="46524DD7">
        <w:rPr>
          <w:color w:val="1F1F1F"/>
        </w:rPr>
        <w:t xml:space="preserve"> call type</w:t>
      </w:r>
      <w:r w:rsidRPr="46524DD7">
        <w:rPr>
          <w:color w:val="1F1F1F"/>
        </w:rPr>
        <w:t>.</w:t>
      </w:r>
    </w:p>
    <w:p w14:paraId="3810F7C2" w14:textId="77777777" w:rsidR="00944DE6" w:rsidRDefault="00944DE6">
      <w:pPr>
        <w:rPr>
          <w:color w:val="1F1F1F"/>
        </w:rPr>
        <w:sectPr w:rsidR="00944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211E86" w14:textId="68586B53" w:rsidR="001C42B8" w:rsidRDefault="3F0FB168" w:rsidP="581F919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676BDC8"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 xml:space="preserve">Table 1: </w:t>
      </w:r>
      <w:r w:rsidR="2D976E2A" w:rsidRPr="0676BDC8">
        <w:rPr>
          <w:rFonts w:ascii="Times New Roman" w:eastAsia="Times New Roman" w:hAnsi="Times New Roman" w:cs="Times New Roman"/>
          <w:color w:val="1F1F1F"/>
          <w:sz w:val="24"/>
          <w:szCs w:val="24"/>
        </w:rPr>
        <w:t>OE-I Call Type Summary</w:t>
      </w:r>
    </w:p>
    <w:p w14:paraId="09A68B6A" w14:textId="5F48A61B" w:rsidR="581F9196" w:rsidRDefault="581F9196" w:rsidP="581F919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4"/>
        <w:gridCol w:w="1211"/>
        <w:gridCol w:w="2070"/>
        <w:gridCol w:w="2790"/>
        <w:gridCol w:w="2385"/>
        <w:gridCol w:w="2115"/>
      </w:tblGrid>
      <w:tr w:rsidR="001C42B8" w:rsidRPr="007610F6" w14:paraId="275E23BB" w14:textId="77777777" w:rsidTr="000147B3">
        <w:trPr>
          <w:cantSplit/>
          <w:trHeight w:val="1134"/>
        </w:trPr>
        <w:tc>
          <w:tcPr>
            <w:tcW w:w="2114" w:type="dxa"/>
          </w:tcPr>
          <w:p w14:paraId="709CED51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Call Type</w:t>
            </w:r>
          </w:p>
        </w:tc>
        <w:tc>
          <w:tcPr>
            <w:tcW w:w="1211" w:type="dxa"/>
          </w:tcPr>
          <w:p w14:paraId="4F49392E" w14:textId="77777777" w:rsidR="001C42B8" w:rsidRPr="007610F6" w:rsidRDefault="001C42B8" w:rsidP="00C45533">
            <w:pPr>
              <w:rPr>
                <w:rFonts w:ascii="Times New Roman" w:hAnsi="Times New Roman" w:cs="Times New Roman"/>
                <w:b/>
                <w:bCs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2070" w:type="dxa"/>
          </w:tcPr>
          <w:p w14:paraId="4723842F" w14:textId="77777777" w:rsidR="001C42B8" w:rsidRPr="007610F6" w:rsidRDefault="001C42B8" w:rsidP="00C45533">
            <w:pPr>
              <w:rPr>
                <w:rFonts w:ascii="Times New Roman" w:hAnsi="Times New Roman" w:cs="Times New Roman"/>
                <w:b/>
                <w:bCs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2790" w:type="dxa"/>
          </w:tcPr>
          <w:p w14:paraId="3892DD2F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SAFiRE™ Intake Path</w:t>
            </w:r>
          </w:p>
        </w:tc>
        <w:tc>
          <w:tcPr>
            <w:tcW w:w="2385" w:type="dxa"/>
          </w:tcPr>
          <w:p w14:paraId="753C334E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Who Can Submit</w:t>
            </w:r>
          </w:p>
        </w:tc>
        <w:tc>
          <w:tcPr>
            <w:tcW w:w="2115" w:type="dxa"/>
          </w:tcPr>
          <w:p w14:paraId="2189325F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Time Period</w:t>
            </w:r>
          </w:p>
        </w:tc>
      </w:tr>
      <w:tr w:rsidR="001C42B8" w:rsidRPr="007610F6" w14:paraId="06324D69" w14:textId="77777777" w:rsidTr="000147B3">
        <w:trPr>
          <w:cantSplit/>
          <w:trHeight w:val="1134"/>
        </w:trPr>
        <w:tc>
          <w:tcPr>
            <w:tcW w:w="2114" w:type="dxa"/>
          </w:tcPr>
          <w:p w14:paraId="618D7FC5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 xml:space="preserve">Call for Proposals  </w:t>
            </w:r>
          </w:p>
        </w:tc>
        <w:tc>
          <w:tcPr>
            <w:tcW w:w="1211" w:type="dxa"/>
          </w:tcPr>
          <w:p w14:paraId="0C6B834F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 xml:space="preserve">OEPF </w:t>
            </w:r>
          </w:p>
          <w:p w14:paraId="13991FE7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OECIF</w:t>
            </w:r>
          </w:p>
        </w:tc>
        <w:tc>
          <w:tcPr>
            <w:tcW w:w="2070" w:type="dxa"/>
          </w:tcPr>
          <w:p w14:paraId="7469AF37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Designated as either OEPF or OECIF Core Focus Areas</w:t>
            </w:r>
          </w:p>
        </w:tc>
        <w:tc>
          <w:tcPr>
            <w:tcW w:w="2790" w:type="dxa"/>
          </w:tcPr>
          <w:p w14:paraId="1573CA11" w14:textId="77777777" w:rsidR="001C42B8" w:rsidRPr="007610F6" w:rsidRDefault="001C42B8" w:rsidP="00C45533">
            <w:pPr>
              <w:rPr>
                <w:rFonts w:ascii="Times New Roman" w:hAnsi="Times New Roman" w:cs="Times New Roman"/>
                <w:b/>
                <w:bCs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 xml:space="preserve">Government Proposal Submission Path </w:t>
            </w:r>
          </w:p>
          <w:p w14:paraId="161BB609" w14:textId="77777777" w:rsidR="001C42B8" w:rsidRPr="007610F6" w:rsidRDefault="001C42B8" w:rsidP="00C4553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180"/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 xml:space="preserve">OEPF Proposal Form </w:t>
            </w:r>
          </w:p>
          <w:p w14:paraId="4023322A" w14:textId="77777777" w:rsidR="001C42B8" w:rsidRPr="007610F6" w:rsidRDefault="001C42B8" w:rsidP="00C4553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180"/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OECIF Proposal Form (TBD)</w:t>
            </w:r>
          </w:p>
        </w:tc>
        <w:tc>
          <w:tcPr>
            <w:tcW w:w="2385" w:type="dxa"/>
          </w:tcPr>
          <w:p w14:paraId="21484642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Government Personnel Only (must have an applicable email address)</w:t>
            </w:r>
          </w:p>
        </w:tc>
        <w:tc>
          <w:tcPr>
            <w:tcW w:w="2115" w:type="dxa"/>
          </w:tcPr>
          <w:p w14:paraId="6CBC1303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Set Timeline (IAW Call Released by OE-I on www.oecif.org)</w:t>
            </w:r>
          </w:p>
        </w:tc>
      </w:tr>
      <w:tr w:rsidR="001C42B8" w:rsidRPr="007610F6" w14:paraId="40845B63" w14:textId="77777777" w:rsidTr="000147B3">
        <w:trPr>
          <w:cantSplit/>
          <w:trHeight w:val="1134"/>
        </w:trPr>
        <w:tc>
          <w:tcPr>
            <w:tcW w:w="2114" w:type="dxa"/>
          </w:tcPr>
          <w:p w14:paraId="52D0573C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Targeted Request for Project Proposals (RPP)</w:t>
            </w:r>
          </w:p>
        </w:tc>
        <w:tc>
          <w:tcPr>
            <w:tcW w:w="1211" w:type="dxa"/>
          </w:tcPr>
          <w:p w14:paraId="1DAF8B71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 xml:space="preserve">OEPF </w:t>
            </w:r>
          </w:p>
          <w:p w14:paraId="72851E14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 xml:space="preserve">OECIF </w:t>
            </w:r>
          </w:p>
        </w:tc>
        <w:tc>
          <w:tcPr>
            <w:tcW w:w="2070" w:type="dxa"/>
          </w:tcPr>
          <w:p w14:paraId="77DFCFA9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Specific Topic</w:t>
            </w:r>
          </w:p>
        </w:tc>
        <w:tc>
          <w:tcPr>
            <w:tcW w:w="2790" w:type="dxa"/>
          </w:tcPr>
          <w:p w14:paraId="602E83E6" w14:textId="77777777" w:rsidR="001C42B8" w:rsidRPr="007610F6" w:rsidRDefault="001C42B8" w:rsidP="00C45533">
            <w:pPr>
              <w:rPr>
                <w:rFonts w:ascii="Times New Roman" w:hAnsi="Times New Roman" w:cs="Times New Roman"/>
                <w:b/>
                <w:bCs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 xml:space="preserve">Targeted RPP Path </w:t>
            </w:r>
          </w:p>
          <w:p w14:paraId="7386F1FB" w14:textId="77777777" w:rsidR="001C42B8" w:rsidRPr="007610F6" w:rsidRDefault="001C42B8" w:rsidP="00C4553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180"/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Tailored Proposal Form per Topic (provided by OE-I)</w:t>
            </w:r>
          </w:p>
        </w:tc>
        <w:tc>
          <w:tcPr>
            <w:tcW w:w="2385" w:type="dxa"/>
          </w:tcPr>
          <w:p w14:paraId="1AFE2BD0" w14:textId="77777777" w:rsidR="001C42B8" w:rsidRPr="007610F6" w:rsidRDefault="001C42B8" w:rsidP="00C4553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99" w:hanging="180"/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 xml:space="preserve">Invited Parties </w:t>
            </w:r>
          </w:p>
          <w:p w14:paraId="23E3872E" w14:textId="77777777" w:rsidR="001C42B8" w:rsidRPr="007610F6" w:rsidRDefault="001C42B8" w:rsidP="00C4553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99" w:hanging="180"/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Any Party that believes they have something to offer (can be from any organization; any email type permitted)</w:t>
            </w:r>
          </w:p>
        </w:tc>
        <w:tc>
          <w:tcPr>
            <w:tcW w:w="2115" w:type="dxa"/>
          </w:tcPr>
          <w:p w14:paraId="6AC5C786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Set Timeline (IAW Call Released by OE-I on www.oecif.org)</w:t>
            </w:r>
          </w:p>
        </w:tc>
      </w:tr>
      <w:tr w:rsidR="001C42B8" w:rsidRPr="007610F6" w14:paraId="69F514B6" w14:textId="77777777" w:rsidTr="000147B3">
        <w:trPr>
          <w:cantSplit/>
          <w:trHeight w:val="1134"/>
        </w:trPr>
        <w:tc>
          <w:tcPr>
            <w:tcW w:w="2114" w:type="dxa"/>
          </w:tcPr>
          <w:p w14:paraId="30B2BA9C" w14:textId="5AEC86C3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Continuous/</w:t>
            </w:r>
            <w:r w:rsidR="007726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610F6">
              <w:rPr>
                <w:rFonts w:ascii="Times New Roman" w:hAnsi="Times New Roman" w:cs="Times New Roman"/>
                <w:b/>
                <w:bCs/>
              </w:rPr>
              <w:t>Open Solicitation</w:t>
            </w:r>
          </w:p>
        </w:tc>
        <w:tc>
          <w:tcPr>
            <w:tcW w:w="1211" w:type="dxa"/>
          </w:tcPr>
          <w:p w14:paraId="53ADBDC0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 xml:space="preserve">OEPF </w:t>
            </w:r>
          </w:p>
          <w:p w14:paraId="4B5548BD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OECIF</w:t>
            </w:r>
          </w:p>
        </w:tc>
        <w:tc>
          <w:tcPr>
            <w:tcW w:w="2070" w:type="dxa"/>
          </w:tcPr>
          <w:p w14:paraId="21D45A45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No Set Topic; Open to Submitter to demonstrate alignment to OE-I Core Focus Areas</w:t>
            </w:r>
          </w:p>
        </w:tc>
        <w:tc>
          <w:tcPr>
            <w:tcW w:w="2790" w:type="dxa"/>
          </w:tcPr>
          <w:p w14:paraId="6A97DA36" w14:textId="77777777" w:rsidR="001C42B8" w:rsidRPr="007610F6" w:rsidRDefault="001C42B8" w:rsidP="00C4553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180"/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Type 1: Government Consultation Path</w:t>
            </w:r>
            <w:r w:rsidRPr="007610F6">
              <w:rPr>
                <w:rFonts w:ascii="Times New Roman" w:hAnsi="Times New Roman" w:cs="Times New Roman"/>
              </w:rPr>
              <w:t xml:space="preserve"> (must have an applicable email address)</w:t>
            </w:r>
          </w:p>
          <w:p w14:paraId="5E9B3EF4" w14:textId="77777777" w:rsidR="001C42B8" w:rsidRPr="007610F6" w:rsidRDefault="001C42B8" w:rsidP="00C45533">
            <w:pPr>
              <w:numPr>
                <w:ilvl w:val="0"/>
                <w:numId w:val="3"/>
              </w:numPr>
              <w:ind w:left="256" w:hanging="180"/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  <w:b/>
                <w:bCs/>
              </w:rPr>
              <w:t>Type 2: Industry Market Analysis</w:t>
            </w:r>
            <w:r w:rsidRPr="007610F6">
              <w:rPr>
                <w:rFonts w:ascii="Times New Roman" w:hAnsi="Times New Roman" w:cs="Times New Roman"/>
              </w:rPr>
              <w:t xml:space="preserve"> </w:t>
            </w:r>
            <w:r w:rsidRPr="007610F6">
              <w:rPr>
                <w:rFonts w:ascii="Times New Roman" w:hAnsi="Times New Roman" w:cs="Times New Roman"/>
                <w:b/>
                <w:bCs/>
              </w:rPr>
              <w:t>Path</w:t>
            </w:r>
            <w:r w:rsidRPr="007610F6">
              <w:rPr>
                <w:rFonts w:ascii="Times New Roman" w:hAnsi="Times New Roman" w:cs="Times New Roman"/>
              </w:rPr>
              <w:t xml:space="preserve"> (all other emails including CTR permitted)  </w:t>
            </w:r>
          </w:p>
        </w:tc>
        <w:tc>
          <w:tcPr>
            <w:tcW w:w="2385" w:type="dxa"/>
          </w:tcPr>
          <w:p w14:paraId="04CB01B8" w14:textId="77777777" w:rsidR="001C42B8" w:rsidRPr="007610F6" w:rsidRDefault="001C42B8" w:rsidP="00C4553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99" w:hanging="180"/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Type 1: Government Only (team can include non-Government team members)</w:t>
            </w:r>
          </w:p>
          <w:p w14:paraId="7B0D929B" w14:textId="77777777" w:rsidR="001C42B8" w:rsidRPr="007610F6" w:rsidRDefault="001C42B8" w:rsidP="00C4553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99" w:hanging="180"/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Type 2: Any Other Party with no current Government lead (Industry, Academia, FFRDC, etc.)</w:t>
            </w:r>
          </w:p>
        </w:tc>
        <w:tc>
          <w:tcPr>
            <w:tcW w:w="2115" w:type="dxa"/>
          </w:tcPr>
          <w:p w14:paraId="52BE4F4D" w14:textId="77777777" w:rsidR="001C42B8" w:rsidRPr="007610F6" w:rsidRDefault="001C42B8" w:rsidP="00C45533">
            <w:pPr>
              <w:rPr>
                <w:rFonts w:ascii="Times New Roman" w:hAnsi="Times New Roman" w:cs="Times New Roman"/>
              </w:rPr>
            </w:pPr>
            <w:r w:rsidRPr="007610F6">
              <w:rPr>
                <w:rFonts w:ascii="Times New Roman" w:hAnsi="Times New Roman" w:cs="Times New Roman"/>
              </w:rPr>
              <w:t>Continuous (IAW Call Released by OE-I on www.oecif.org)</w:t>
            </w:r>
          </w:p>
        </w:tc>
      </w:tr>
    </w:tbl>
    <w:p w14:paraId="2AAA46EF" w14:textId="77777777" w:rsidR="00AD195F" w:rsidRDefault="00AD195F" w:rsidP="001C4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  <w:sectPr w:rsidR="00AD195F" w:rsidSect="00AD195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A287EDA" w14:textId="77777777" w:rsidR="001C42B8" w:rsidRDefault="001C42B8" w:rsidP="001C4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73CAE774" w14:textId="6D3AC40C" w:rsidR="00B44C9A" w:rsidRPr="00A61CC8" w:rsidRDefault="002B1086" w:rsidP="00B44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>
        <w:pict w14:anchorId="784F6E46">
          <v:rect id="Horizontal Line 2" o:spid="_x0000_s1029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4A1E3B82" w14:textId="77777777" w:rsidR="00B44C9A" w:rsidRPr="00A61CC8" w:rsidRDefault="00B44C9A" w:rsidP="00B44C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2.0 Desired Capabilities &amp; Focus Areas</w:t>
      </w:r>
    </w:p>
    <w:p w14:paraId="75C9368E" w14:textId="52081675" w:rsidR="00B44C9A" w:rsidRPr="00A61CC8" w:rsidRDefault="00B44C9A" w:rsidP="75FFB390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The </w:t>
      </w:r>
      <w:r w:rsidR="007E3FE4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OE</w:t>
      </w:r>
      <w:r w:rsidR="0095182F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-I</w:t>
      </w:r>
      <w:r w:rsidR="007E3FE4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417B465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Directorate’s </w:t>
      </w:r>
      <w:r w:rsidR="0095182F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p</w:t>
      </w:r>
      <w:r w:rsidR="007E3FE4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rogram</w:t>
      </w:r>
      <w:r w:rsidR="0095182F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s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strategically invest in </w:t>
      </w:r>
      <w:r w:rsidR="008001E9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both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first-of-a-kind technolog</w:t>
      </w:r>
      <w:r w:rsidR="450AC3C3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y development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8801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(OECIF 6.3) </w:t>
      </w:r>
      <w:r w:rsidR="00C7571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and </w:t>
      </w:r>
      <w:r w:rsidR="41CCD6F8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test, demonstration, and validation of </w:t>
      </w:r>
      <w:r w:rsidR="4E100EF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first-of-a-kind</w:t>
      </w:r>
      <w:r w:rsidR="00104869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50E6849C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capabilities </w:t>
      </w:r>
      <w:r w:rsidR="00104869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ready for militarization</w:t>
      </w:r>
      <w:r w:rsidR="008001E9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5BADB0E2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and </w:t>
      </w:r>
      <w:r w:rsidR="008001E9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transition into a program of record</w:t>
      </w:r>
      <w:r w:rsidR="008801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(OEPF 6.4)</w:t>
      </w:r>
      <w:r w:rsidR="00880D7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  <w:r w:rsidR="00104869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31C3308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This </w:t>
      </w:r>
      <w:r w:rsidR="00B24CA2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continuous/open solicitation</w:t>
      </w:r>
      <w:r w:rsidR="31C3308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seeks innovations for pre-commercial, military-unique technologies within our core focus areas (below) for OECIF. OEPF seeks capabilities ready to transition but </w:t>
      </w:r>
      <w:r w:rsidR="09CD145D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its call </w:t>
      </w:r>
      <w:r w:rsidR="31C3308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has no specific topic apart from Operational Energy Innovation. This announcement remains continuously open, and the programs conduct evaluations on a rolling basis. </w:t>
      </w:r>
    </w:p>
    <w:p w14:paraId="04DDD980" w14:textId="53BB3607" w:rsidR="00B44C9A" w:rsidRDefault="7FECED00" w:rsidP="581F919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Operational energy innovation </w:t>
      </w:r>
      <w:r w:rsidR="00880D7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technologies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grant U.S. forces operational flexibility, freedom of action, and a decisive qualitative edge. OE</w:t>
      </w:r>
      <w:r w:rsidR="0063111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CIF</w:t>
      </w:r>
      <w:r w:rsidR="007A40AF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prioritizes</w:t>
      </w:r>
      <w:r w:rsidR="009C1B66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880D7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innovations</w:t>
      </w:r>
      <w:r w:rsidR="007E3FE4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880D7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that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align with the focus areas</w:t>
      </w:r>
      <w:r w:rsidR="4C7A2E9C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outlined within Table 2.</w:t>
      </w:r>
    </w:p>
    <w:p w14:paraId="3882EC38" w14:textId="72AF2063" w:rsidR="4C7A2E9C" w:rsidRDefault="4C7A2E9C" w:rsidP="581F9196">
      <w:pPr>
        <w:shd w:val="clear" w:color="auto" w:fill="FFFFFF" w:themeFill="background1"/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581F9196">
        <w:rPr>
          <w:rFonts w:ascii="Times New Roman" w:eastAsia="Times New Roman" w:hAnsi="Times New Roman" w:cs="Times New Roman"/>
          <w:color w:val="1F1F1F"/>
          <w:sz w:val="24"/>
          <w:szCs w:val="24"/>
        </w:rPr>
        <w:t>Table 2. OE-I Core Focus Area Descriptions</w:t>
      </w:r>
    </w:p>
    <w:tbl>
      <w:tblPr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4760"/>
      </w:tblGrid>
      <w:tr w:rsidR="00B44C9A" w:rsidRPr="00EB142E" w14:paraId="44F3F1EC" w14:textId="77777777" w:rsidTr="46524DD7">
        <w:tc>
          <w:tcPr>
            <w:tcW w:w="0" w:type="auto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DACDC" w14:textId="2E2209F9" w:rsidR="00B44C9A" w:rsidRPr="00EB142E" w:rsidRDefault="16E72487" w:rsidP="00B4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40D04E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Core </w:t>
            </w:r>
            <w:r w:rsidR="00B44C9A" w:rsidRPr="40D04E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Focus Area</w:t>
            </w:r>
            <w:r w:rsidR="784BA2DB" w:rsidRPr="40D04E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D57F4" w14:textId="77777777" w:rsidR="00B44C9A" w:rsidRPr="00EB142E" w:rsidRDefault="00B44C9A" w:rsidP="00B4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B14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Description</w:t>
            </w:r>
          </w:p>
        </w:tc>
      </w:tr>
      <w:tr w:rsidR="00E2716E" w:rsidRPr="00322156" w14:paraId="1697194C" w14:textId="77777777" w:rsidTr="46524DD7">
        <w:tc>
          <w:tcPr>
            <w:tcW w:w="9090" w:type="dxa"/>
            <w:gridSpan w:val="2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40ECC" w14:textId="10AAE8A8" w:rsidR="00E2716E" w:rsidRDefault="267DAB69" w:rsidP="00B4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OPERATIONAL ENERGY DOMINANCE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(6.3 RDT&amp;E</w:t>
            </w:r>
            <w:r w:rsidR="3FE630BB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S&amp;T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)</w:t>
            </w:r>
          </w:p>
          <w:p w14:paraId="55AADAC2" w14:textId="19078773" w:rsidR="00880D70" w:rsidRPr="00880D70" w:rsidRDefault="00880D70" w:rsidP="0088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40D04E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Delivering actionable real-time energy situational awareness, data supremacy, and overwhelming battlespace capability, </w:t>
            </w:r>
            <w:r w:rsidR="292941CC" w:rsidRPr="40D04E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OE-I’s Energy Dominance</w:t>
            </w:r>
            <w:r w:rsidRPr="40D04E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portfolio integrates decision-quality information within CJADC2. </w:t>
            </w:r>
          </w:p>
        </w:tc>
      </w:tr>
      <w:tr w:rsidR="00C34E49" w:rsidRPr="00322156" w14:paraId="3F6467C7" w14:textId="77777777" w:rsidTr="46524DD7">
        <w:trPr>
          <w:trHeight w:val="1395"/>
        </w:trPr>
        <w:tc>
          <w:tcPr>
            <w:tcW w:w="0" w:type="auto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A5043" w14:textId="5BAB85DF" w:rsidR="00C34E49" w:rsidRPr="00322156" w:rsidRDefault="00FC6BA7" w:rsidP="00195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Joint Operational Energy Layer</w:t>
            </w:r>
            <w:r w:rsidR="006D0403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(JOEL)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5D9E1" w14:textId="78315E60" w:rsidR="00C34E49" w:rsidRPr="00322156" w:rsidRDefault="48BE999F" w:rsidP="00195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JOEL</w:t>
            </w:r>
            <w:r w:rsidR="009C1B66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</w:t>
            </w:r>
            <w:r w:rsidR="60BAAA58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argets i</w:t>
            </w:r>
            <w:r w:rsidR="6BA7EC1E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ntegrating power and energy information in </w:t>
            </w:r>
            <w:r w:rsidR="0088019A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Joint </w:t>
            </w:r>
            <w:r w:rsidR="63DF764C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All-Domain Co</w:t>
            </w:r>
            <w:r w:rsidR="009C1B66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</w:t>
            </w:r>
            <w:r w:rsidR="63DF764C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mand and Control (JADC2) systems</w:t>
            </w:r>
            <w:r w:rsidR="0088019A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6BA7EC1E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for shaping and decision making at all echelons</w:t>
            </w:r>
            <w:r w:rsidR="2641755D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– both Service and Combatant Command solutions</w:t>
            </w:r>
            <w:r w:rsidR="60BAAA58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</w:tr>
      <w:tr w:rsidR="00E2716E" w:rsidRPr="00322156" w14:paraId="20A2BB4D" w14:textId="77777777" w:rsidTr="46524DD7">
        <w:tc>
          <w:tcPr>
            <w:tcW w:w="0" w:type="auto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7F50A" w14:textId="48DAB55C" w:rsidR="00E2716E" w:rsidRPr="00322156" w:rsidRDefault="00E2716E" w:rsidP="00195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Sensor Integration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03B60" w14:textId="0E2EE83B" w:rsidR="003D79BC" w:rsidRPr="00322156" w:rsidRDefault="48BE999F" w:rsidP="00195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Sensor Integration is e</w:t>
            </w:r>
            <w:r w:rsidR="0288D6E1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nergy </w:t>
            </w:r>
            <w:r w:rsidR="009C1B66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="0288D6E1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ens</w:t>
            </w:r>
            <w:r w:rsidR="62EBF199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ing</w:t>
            </w:r>
            <w:r w:rsidR="0288D6E1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—</w:t>
            </w:r>
            <w:r w:rsidR="62EBF199" w:rsidRPr="40D04E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62EBF199" w:rsidRPr="40D04E77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r w:rsidRPr="40D04E77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62EBF199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 predictive sustainment, logistics synchronization, </w:t>
            </w:r>
            <w:r w:rsidR="007A40AF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62EBF199" w:rsidRPr="40D04E77">
              <w:rPr>
                <w:rFonts w:ascii="Times New Roman" w:hAnsi="Times New Roman" w:cs="Times New Roman"/>
                <w:sz w:val="24"/>
                <w:szCs w:val="24"/>
              </w:rPr>
              <w:t>energy resilience across Joint environments.</w:t>
            </w:r>
          </w:p>
        </w:tc>
      </w:tr>
      <w:tr w:rsidR="00E2716E" w:rsidRPr="00322156" w14:paraId="28E3C727" w14:textId="77777777" w:rsidTr="46524DD7">
        <w:tc>
          <w:tcPr>
            <w:tcW w:w="9090" w:type="dxa"/>
            <w:gridSpan w:val="2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4B851" w14:textId="4FDA5B4C" w:rsidR="00E2716E" w:rsidRDefault="267DAB69" w:rsidP="00E2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ADVANCED OPERATIONAL ENERGY MOBILITY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(6.3 RDT&amp;E</w:t>
            </w:r>
            <w:r w:rsidR="05659B42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S&amp;T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)</w:t>
            </w:r>
          </w:p>
          <w:p w14:paraId="34D34AA7" w14:textId="77DA0BA6" w:rsidR="00AF28C3" w:rsidRPr="00AF28C3" w:rsidRDefault="6E363516" w:rsidP="00AF2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OE-I’s Energy Mobility portfolio is accelerating Joint Force freedom of maneuver </w:t>
            </w:r>
            <w:r w:rsidR="186420EA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and non-kinetic solutions </w:t>
            </w:r>
            <w:r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by transforming assured power use and access to </w:t>
            </w:r>
            <w:r w:rsidR="7A6EA08C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directed energy/</w:t>
            </w:r>
            <w:r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energy magazine</w:t>
            </w:r>
            <w:r w:rsidR="00B216B7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,</w:t>
            </w:r>
            <w:r w:rsidR="5DBB0704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next-generation propulsion</w:t>
            </w:r>
            <w:r w:rsidR="00B216B7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,</w:t>
            </w:r>
            <w:r w:rsidR="5DBB0704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and novel autonomous systems</w:t>
            </w:r>
            <w:r w:rsidR="52F843E7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/mission capabilities</w:t>
            </w:r>
            <w:r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 Its focus is on extending operational reach</w:t>
            </w:r>
            <w:r w:rsidR="13377C3A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/</w:t>
            </w:r>
            <w:r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tempo and sustain</w:t>
            </w:r>
            <w:r w:rsidR="7D932138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ing</w:t>
            </w:r>
            <w:r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movement across contested, austere, and denied environments.</w:t>
            </w:r>
          </w:p>
        </w:tc>
      </w:tr>
      <w:tr w:rsidR="00E2716E" w:rsidRPr="00322156" w14:paraId="3A2EB38E" w14:textId="77777777" w:rsidTr="46524DD7">
        <w:trPr>
          <w:trHeight w:val="300"/>
        </w:trPr>
        <w:tc>
          <w:tcPr>
            <w:tcW w:w="0" w:type="auto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704B6" w14:textId="6EACC988" w:rsidR="00E2716E" w:rsidRPr="00322156" w:rsidRDefault="00883A2C" w:rsidP="00195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Energy Integration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C91B6" w14:textId="6A9790FA" w:rsidR="00E2716E" w:rsidRPr="00322156" w:rsidRDefault="48BE999F" w:rsidP="40D0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0D04E77">
              <w:rPr>
                <w:rFonts w:ascii="Times New Roman" w:hAnsi="Times New Roman" w:cs="Times New Roman"/>
                <w:sz w:val="24"/>
                <w:szCs w:val="24"/>
              </w:rPr>
              <w:t>Energy Integration a</w:t>
            </w:r>
            <w:r w:rsidR="53DB427F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dvances </w:t>
            </w:r>
            <w:r w:rsidR="63DF764C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and integrates </w:t>
            </w:r>
            <w:r w:rsidR="6307ECE8" w:rsidRPr="40D04E77">
              <w:rPr>
                <w:rFonts w:ascii="Times New Roman" w:hAnsi="Times New Roman" w:cs="Times New Roman"/>
                <w:sz w:val="24"/>
                <w:szCs w:val="24"/>
              </w:rPr>
              <w:t>emerging</w:t>
            </w:r>
            <w:r w:rsidR="63DF764C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53DB427F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energy </w:t>
            </w:r>
            <w:r w:rsidR="292941CC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innovations </w:t>
            </w:r>
            <w:r w:rsidR="53DB427F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across </w:t>
            </w:r>
            <w:r w:rsidR="53DB427F" w:rsidRPr="40D04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domains, platforms, and </w:t>
            </w:r>
            <w:r w:rsidR="004F66FC" w:rsidRPr="40D04E77">
              <w:rPr>
                <w:rFonts w:ascii="Times New Roman" w:hAnsi="Times New Roman" w:cs="Times New Roman"/>
                <w:sz w:val="24"/>
                <w:szCs w:val="24"/>
              </w:rPr>
              <w:t>microgrids,</w:t>
            </w:r>
            <w:r w:rsidR="53DB427F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 enhancing lethality, mobility, and</w:t>
            </w:r>
            <w:r w:rsidR="4D458665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3DB427F" w:rsidRPr="40D04E77">
              <w:rPr>
                <w:rFonts w:ascii="Times New Roman" w:hAnsi="Times New Roman" w:cs="Times New Roman"/>
                <w:sz w:val="24"/>
                <w:szCs w:val="24"/>
              </w:rPr>
              <w:t xml:space="preserve">maneuver in contested environments. </w:t>
            </w:r>
            <w:r w:rsidR="0B9A55EF" w:rsidRPr="40D04E77">
              <w:rPr>
                <w:rFonts w:ascii="Times New Roman" w:hAnsi="Times New Roman" w:cs="Times New Roman"/>
                <w:sz w:val="24"/>
                <w:szCs w:val="24"/>
              </w:rPr>
              <w:t>Includes production forward.</w:t>
            </w:r>
          </w:p>
        </w:tc>
      </w:tr>
      <w:tr w:rsidR="00E2716E" w:rsidRPr="00322156" w14:paraId="55E89E81" w14:textId="77777777" w:rsidTr="46524DD7">
        <w:tc>
          <w:tcPr>
            <w:tcW w:w="0" w:type="auto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10184" w14:textId="535649F3" w:rsidR="00E2716E" w:rsidRPr="00322156" w:rsidRDefault="00123AB8" w:rsidP="00195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>Directed Energy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41438" w14:textId="2FF35D2F" w:rsidR="00E2716E" w:rsidRPr="00322156" w:rsidRDefault="4AAFC7F1" w:rsidP="40D04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524DD7">
              <w:rPr>
                <w:rFonts w:ascii="Times New Roman" w:hAnsi="Times New Roman" w:cs="Times New Roman"/>
                <w:sz w:val="24"/>
                <w:szCs w:val="24"/>
              </w:rPr>
              <w:t>Directed Energy is o</w:t>
            </w:r>
            <w:r w:rsidR="27BF8145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perationalizing energy for high-powered directed energy weapons and radar systems, producing </w:t>
            </w:r>
            <w:r w:rsidR="615DB253" w:rsidRPr="46524DD7">
              <w:rPr>
                <w:rFonts w:ascii="Times New Roman" w:hAnsi="Times New Roman" w:cs="Times New Roman"/>
                <w:sz w:val="24"/>
                <w:szCs w:val="24"/>
              </w:rPr>
              <w:t>non-kinetic solutions</w:t>
            </w:r>
            <w:r w:rsidR="27BF8145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at the tactical edge</w:t>
            </w:r>
            <w:r w:rsidR="133B4260" w:rsidRPr="46524D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27BF8145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and enabling energy prepositioning and storage</w:t>
            </w:r>
            <w:r w:rsidR="00DA1FA3" w:rsidRPr="4652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31A4D00B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 Includes power and thermal management solutions for all domains.</w:t>
            </w:r>
          </w:p>
        </w:tc>
      </w:tr>
      <w:tr w:rsidR="00123AB8" w:rsidRPr="00322156" w14:paraId="56D131BB" w14:textId="77777777" w:rsidTr="46524DD7">
        <w:tc>
          <w:tcPr>
            <w:tcW w:w="0" w:type="auto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7ED3C" w14:textId="6AA97C35" w:rsidR="00123AB8" w:rsidRPr="00322156" w:rsidRDefault="00123AB8" w:rsidP="001955FB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2215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Land &amp; Maritime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4EEFE" w14:textId="583C4B3C" w:rsidR="00123AB8" w:rsidRPr="003D22BA" w:rsidRDefault="4AAFC7F1" w:rsidP="003D2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524DD7">
              <w:rPr>
                <w:rFonts w:ascii="Times New Roman" w:hAnsi="Times New Roman" w:cs="Times New Roman"/>
                <w:sz w:val="24"/>
                <w:szCs w:val="24"/>
              </w:rPr>
              <w:t>Land and Maritime a</w:t>
            </w:r>
            <w:r w:rsidR="3F7CC2AE" w:rsidRPr="46524DD7">
              <w:rPr>
                <w:rFonts w:ascii="Times New Roman" w:hAnsi="Times New Roman" w:cs="Times New Roman"/>
                <w:sz w:val="24"/>
                <w:szCs w:val="24"/>
              </w:rPr>
              <w:t>dvances operational duration for ground/maritime platforms</w:t>
            </w:r>
            <w:r w:rsidR="6E363516" w:rsidRPr="46524D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3F7CC2AE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including extending operational reach</w:t>
            </w:r>
            <w:r w:rsidR="6E363516" w:rsidRPr="46524D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3F7CC2AE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enabling silent watch and silent</w:t>
            </w:r>
            <w:r w:rsidR="19A51EBD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F7CC2AE" w:rsidRPr="46524DD7">
              <w:rPr>
                <w:rFonts w:ascii="Times New Roman" w:hAnsi="Times New Roman" w:cs="Times New Roman"/>
                <w:sz w:val="24"/>
                <w:szCs w:val="24"/>
              </w:rPr>
              <w:t>mobility</w:t>
            </w:r>
            <w:r w:rsidR="6E363516" w:rsidRPr="46524D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3F7CC2AE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1E04D8" w:rsidRPr="46524DD7">
              <w:rPr>
                <w:rFonts w:ascii="Times New Roman" w:hAnsi="Times New Roman" w:cs="Times New Roman"/>
                <w:sz w:val="24"/>
                <w:szCs w:val="24"/>
              </w:rPr>
              <w:t>implementing modular, power-dense, and intelligent energy systems for enhanced lethality and</w:t>
            </w:r>
            <w:r w:rsidR="3661B507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1E04D8" w:rsidRPr="46524DD7">
              <w:rPr>
                <w:rFonts w:ascii="Times New Roman" w:hAnsi="Times New Roman" w:cs="Times New Roman"/>
                <w:sz w:val="24"/>
                <w:szCs w:val="24"/>
              </w:rPr>
              <w:t>survivability</w:t>
            </w:r>
            <w:r w:rsidR="6E363516" w:rsidRPr="46524D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5F1E04D8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F7CC2AE" w:rsidRPr="46524DD7">
              <w:rPr>
                <w:rFonts w:ascii="Times New Roman" w:hAnsi="Times New Roman" w:cs="Times New Roman"/>
                <w:sz w:val="24"/>
                <w:szCs w:val="24"/>
              </w:rPr>
              <w:t>maintaining power in austere and contested environments</w:t>
            </w:r>
            <w:r w:rsidR="352C8347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 including for forward manufacturing</w:t>
            </w:r>
            <w:r w:rsidR="26E80071" w:rsidRPr="46524DD7">
              <w:rPr>
                <w:rFonts w:ascii="Times New Roman" w:hAnsi="Times New Roman" w:cs="Times New Roman"/>
                <w:sz w:val="24"/>
                <w:szCs w:val="24"/>
              </w:rPr>
              <w:t>; and freedom of action of crewed and uncrewed non-aviation platforms and systems</w:t>
            </w:r>
            <w:r w:rsidR="3F7CC2AE" w:rsidRPr="46524D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23AB8" w:rsidRPr="00322156" w14:paraId="412AEF42" w14:textId="77777777" w:rsidTr="46524DD7">
        <w:tc>
          <w:tcPr>
            <w:tcW w:w="0" w:type="auto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1D7DF" w14:textId="08BF5823" w:rsidR="00123AB8" w:rsidRPr="00322156" w:rsidRDefault="00123AB8" w:rsidP="001955FB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2215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Aviation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356EF" w14:textId="58A9A061" w:rsidR="00DC759E" w:rsidRPr="003D22BA" w:rsidRDefault="006D0403" w:rsidP="003D2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Aviation a</w:t>
            </w:r>
            <w:r w:rsidR="00BB5399" w:rsidRPr="003D22BA">
              <w:rPr>
                <w:rFonts w:ascii="Times New Roman" w:hAnsi="Times New Roman" w:cs="Times New Roman"/>
                <w:sz w:val="24"/>
                <w:szCs w:val="24"/>
              </w:rPr>
              <w:t xml:space="preserve">dvances energy delivery, </w:t>
            </w:r>
            <w:r w:rsidR="00A10E31" w:rsidRPr="003D22BA">
              <w:rPr>
                <w:rFonts w:ascii="Times New Roman" w:hAnsi="Times New Roman" w:cs="Times New Roman"/>
                <w:sz w:val="24"/>
                <w:szCs w:val="24"/>
              </w:rPr>
              <w:t xml:space="preserve">next generation </w:t>
            </w:r>
            <w:r w:rsidR="00BB5399" w:rsidRPr="003D22BA">
              <w:rPr>
                <w:rFonts w:ascii="Times New Roman" w:hAnsi="Times New Roman" w:cs="Times New Roman"/>
                <w:sz w:val="24"/>
                <w:szCs w:val="24"/>
              </w:rPr>
              <w:t xml:space="preserve">airframes, propulsion, </w:t>
            </w:r>
            <w:r w:rsidR="00411539" w:rsidRPr="003D22B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power and energy mission planning/in-route </w:t>
            </w:r>
            <w:r w:rsidR="002D6F05" w:rsidRPr="003D22B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visibility,</w:t>
            </w:r>
            <w:r w:rsidR="00BB5399" w:rsidRPr="003D22BA">
              <w:rPr>
                <w:rFonts w:ascii="Times New Roman" w:hAnsi="Times New Roman" w:cs="Times New Roman"/>
                <w:sz w:val="24"/>
                <w:szCs w:val="24"/>
              </w:rPr>
              <w:t xml:space="preserve"> intelligent power management</w:t>
            </w:r>
            <w:r w:rsidR="00AF28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399" w:rsidRPr="003D22BA">
              <w:rPr>
                <w:rFonts w:ascii="Times New Roman" w:hAnsi="Times New Roman" w:cs="Times New Roman"/>
                <w:sz w:val="24"/>
                <w:szCs w:val="24"/>
              </w:rPr>
              <w:t xml:space="preserve"> extending range, persistence, and freedom of action of crewed</w:t>
            </w:r>
            <w:r w:rsidR="003D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399" w:rsidRPr="003D22BA">
              <w:rPr>
                <w:rFonts w:ascii="Times New Roman" w:hAnsi="Times New Roman" w:cs="Times New Roman"/>
                <w:sz w:val="24"/>
                <w:szCs w:val="24"/>
              </w:rPr>
              <w:t>and uncrewed aviation platforms</w:t>
            </w:r>
            <w:r w:rsidR="00FA2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716E" w:rsidRPr="00322156" w14:paraId="5F48AA1A" w14:textId="77777777" w:rsidTr="46524DD7">
        <w:tc>
          <w:tcPr>
            <w:tcW w:w="9090" w:type="dxa"/>
            <w:gridSpan w:val="2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98A75" w14:textId="44EE07C0" w:rsidR="00E2716E" w:rsidRDefault="267DAB69" w:rsidP="00E2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COMBAT POWER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(6.3 RDT&amp;E</w:t>
            </w:r>
            <w:r w:rsidR="5BC0F5E7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S&amp;T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)</w:t>
            </w:r>
          </w:p>
          <w:p w14:paraId="393FCA82" w14:textId="5F822AB8" w:rsidR="00AF28C3" w:rsidRPr="00AF28C3" w:rsidRDefault="00AF28C3" w:rsidP="00AF2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OE-I’s Combat Power portfolio is p</w:t>
            </w:r>
            <w:r w:rsidRPr="00AF28C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owering the future of the DoW by delivering energy at the point of need, enabling mission success anywhere on earth and in space.</w:t>
            </w:r>
          </w:p>
        </w:tc>
      </w:tr>
      <w:tr w:rsidR="00E2716E" w:rsidRPr="00322156" w14:paraId="3ECCAA15" w14:textId="77777777" w:rsidTr="46524DD7">
        <w:tc>
          <w:tcPr>
            <w:tcW w:w="0" w:type="auto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4D31C" w14:textId="01CC913C" w:rsidR="00E2716E" w:rsidRPr="00322156" w:rsidRDefault="00E2716E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Power Beaming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3B3FC" w14:textId="271B3B62" w:rsidR="00E2716E" w:rsidRPr="00322156" w:rsidRDefault="03703FF1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Power Beaming t</w:t>
            </w:r>
            <w:r w:rsidR="3CC56CC8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argets</w:t>
            </w:r>
            <w:r w:rsidR="267DAB69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high-efficiency wireless power technology, including advanced transmitters, relays, and receivers. These systems project energy across the battlespace, providing on-demand power for remote, uncrewed, and space-based</w:t>
            </w:r>
            <w:r w:rsidR="1FAC7E4A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/lunar</w:t>
            </w:r>
            <w:r w:rsidR="267DAB69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applications. Th</w:t>
            </w:r>
            <w:r w:rsidR="0D26B66A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e</w:t>
            </w:r>
            <w:r w:rsidR="267DAB69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</w:t>
            </w:r>
            <w:r w:rsidR="2C27A6F5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e</w:t>
            </w:r>
            <w:r w:rsidR="267DAB69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technolog</w:t>
            </w:r>
            <w:r w:rsidR="3EBD1DD6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ies</w:t>
            </w:r>
            <w:r w:rsidR="267DAB69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revolutionize power delivery for a more agile, resilient force.</w:t>
            </w:r>
          </w:p>
        </w:tc>
      </w:tr>
      <w:tr w:rsidR="00E2716E" w:rsidRPr="00322156" w14:paraId="0CDA98F3" w14:textId="77777777" w:rsidTr="46524DD7">
        <w:tc>
          <w:tcPr>
            <w:tcW w:w="0" w:type="auto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5B1CF" w14:textId="1FEC53A3" w:rsidR="00E2716E" w:rsidRPr="00322156" w:rsidRDefault="00E2716E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lastRenderedPageBreak/>
              <w:t>Space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3254C" w14:textId="4145A4BC" w:rsidR="00E2716E" w:rsidRPr="00322156" w:rsidRDefault="03703FF1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Space t</w:t>
            </w:r>
            <w:r w:rsidR="267DAB69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argets technologies advancing space</w:t>
            </w:r>
            <w:r w:rsidR="4A5CB7B7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/lunar</w:t>
            </w:r>
            <w:r w:rsidR="267DAB69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energy generation, storage, and transmission. </w:t>
            </w:r>
            <w:r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It p</w:t>
            </w:r>
            <w:r w:rsidR="267DAB69" w:rsidRPr="46524D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rioritizes solutions for in-orbit refueling, space logistics, propulsion, maneuver, and space access. These capabilities dramatically increase energy availability and operational freedom within the space domain, enabling maneuver without regret.</w:t>
            </w:r>
          </w:p>
        </w:tc>
      </w:tr>
      <w:tr w:rsidR="40D04E77" w14:paraId="5143E188" w14:textId="77777777" w:rsidTr="46524DD7">
        <w:trPr>
          <w:trHeight w:val="300"/>
        </w:trPr>
        <w:tc>
          <w:tcPr>
            <w:tcW w:w="4141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273AD" w14:textId="1B4167A8" w:rsidR="4BC0EB8F" w:rsidRDefault="4BC0EB8F" w:rsidP="40D04E77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40D04E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Stratosphere</w:t>
            </w:r>
          </w:p>
        </w:tc>
        <w:tc>
          <w:tcPr>
            <w:tcW w:w="4949" w:type="dxa"/>
            <w:tcBorders>
              <w:bottom w:val="single" w:sz="6" w:space="0" w:color="E1E3E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EC791" w14:textId="2D73A391" w:rsidR="4BC0EB8F" w:rsidRDefault="4BC0EB8F" w:rsidP="40D04E77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40D04E7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OECIF is interested in novel power and energy solutions that operate in and through the stratosphere.</w:t>
            </w:r>
          </w:p>
        </w:tc>
      </w:tr>
      <w:tr w:rsidR="00E2716E" w:rsidRPr="00322156" w14:paraId="68F791A6" w14:textId="77777777" w:rsidTr="46524DD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A4891" w14:textId="48514778" w:rsidR="00E2716E" w:rsidRPr="00322156" w:rsidRDefault="00E2716E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Counter-Uncrewed Aerial Systems (C-UAS)</w:t>
            </w:r>
          </w:p>
        </w:tc>
        <w:tc>
          <w:tcPr>
            <w:tcW w:w="494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2EB58C" w14:textId="75BB5C57" w:rsidR="00E2716E" w:rsidRPr="00322156" w:rsidRDefault="006D0403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C-UAS p</w:t>
            </w:r>
            <w:r w:rsidR="00E2716E"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rioritizes technologies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that </w:t>
            </w:r>
            <w:r w:rsidR="00E2716E"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enhanc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e</w:t>
            </w:r>
            <w:r w:rsidR="00E2716E"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the operational resilience of critical energy infrastructure. This includes integrating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l</w:t>
            </w:r>
            <w:r w:rsidR="00E2716E"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aser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</w:t>
            </w:r>
            <w:r w:rsidR="00E2716E"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ystems and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h</w:t>
            </w:r>
            <w:r w:rsidR="00E2716E"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igh-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</w:t>
            </w:r>
            <w:r w:rsidR="00E2716E"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ower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m</w:t>
            </w:r>
            <w:r w:rsidR="00E2716E"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icrowave (HPM) C-UAS capabilities into new or existing platforms. Th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is</w:t>
            </w:r>
            <w:r w:rsidR="00E2716E"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portfolio favors platforms featuring dual-use potential for power beaming and directed energy threat neutralization.</w:t>
            </w:r>
          </w:p>
        </w:tc>
      </w:tr>
      <w:tr w:rsidR="00BF2CF7" w:rsidRPr="00322156" w14:paraId="23911780" w14:textId="77777777" w:rsidTr="46524DD7">
        <w:tc>
          <w:tcPr>
            <w:tcW w:w="9090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00D2E" w14:textId="77777777" w:rsidR="004B2521" w:rsidRDefault="004B2521" w:rsidP="0032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</w:p>
          <w:p w14:paraId="0152F78C" w14:textId="5A26E041" w:rsidR="00BF2CF7" w:rsidRDefault="1D70817F" w:rsidP="0032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NUCLEAR</w:t>
            </w:r>
            <w:r w:rsidR="32FDFBCE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POWER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(6.3 RDT&amp;E</w:t>
            </w:r>
            <w:r w:rsidR="1F633C0D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S&amp;T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)</w:t>
            </w:r>
          </w:p>
          <w:p w14:paraId="50D8ADD1" w14:textId="5770A574" w:rsidR="00AF28C3" w:rsidRPr="00AF28C3" w:rsidRDefault="00AF28C3" w:rsidP="00AF2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OE-I’s Nuclear portfolio is r</w:t>
            </w:r>
            <w:r w:rsidRPr="00AF28C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evolutionizing innovations in advanced nuclear reactors and radioisotope power systems (RPS) for Joint operations across all domains. Efforts ensure safer, lighter, smaller, and simply operated solutions for the warfighter.</w:t>
            </w:r>
          </w:p>
        </w:tc>
      </w:tr>
      <w:tr w:rsidR="004858A3" w:rsidRPr="00322156" w14:paraId="70F4E36E" w14:textId="77777777" w:rsidTr="46524DD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967C5" w14:textId="3BE61F91" w:rsidR="004858A3" w:rsidRPr="00322156" w:rsidRDefault="00B33F62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Nuclear Power</w:t>
            </w:r>
          </w:p>
        </w:tc>
        <w:tc>
          <w:tcPr>
            <w:tcW w:w="49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EE06E" w14:textId="71C0445C" w:rsidR="004858A3" w:rsidRPr="00322156" w:rsidRDefault="006D0403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Nuclear f</w:t>
            </w:r>
            <w:r w:rsidR="00E84AAD" w:rsidRPr="0032215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ocuse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="00E84AAD" w:rsidRPr="0032215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on a</w:t>
            </w:r>
            <w:r w:rsidR="00104EEC" w:rsidRPr="0032215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dvancing kW-class nuclear reactors for military operations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;</w:t>
            </w:r>
            <w:r w:rsidRPr="0032215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="007431F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mall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</w:t>
            </w:r>
            <w:r w:rsidR="007431F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odular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</w:t>
            </w:r>
            <w:r w:rsidR="007431F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eactor</w:t>
            </w:r>
            <w:r w:rsidR="00104EEC" w:rsidRPr="0032215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components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;</w:t>
            </w:r>
            <w:r w:rsidRPr="0032215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and </w:t>
            </w:r>
            <w:r w:rsidR="00104EEC" w:rsidRPr="0032215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maturation of radioisotope power systems for spaceflight and terrestrial sensors</w:t>
            </w:r>
            <w:r w:rsidR="00976D6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and domestic supply chain </w:t>
            </w:r>
            <w:r w:rsidR="004F66F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resilience</w:t>
            </w:r>
            <w:r w:rsidR="00104EEC" w:rsidRPr="0032215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 w:rsidR="00976D6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</w:tr>
      <w:tr w:rsidR="00BF2CF7" w:rsidRPr="00322156" w14:paraId="11E254F9" w14:textId="77777777" w:rsidTr="46524DD7">
        <w:tc>
          <w:tcPr>
            <w:tcW w:w="9090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D25DD" w14:textId="53C858E0" w:rsidR="00BF2CF7" w:rsidRPr="00322156" w:rsidRDefault="1D70817F" w:rsidP="0032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SPECIAL PROJECTS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(6.3 </w:t>
            </w:r>
            <w:r w:rsidR="28FF022B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RDT&amp;E S&amp;T 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and 6.4 RDT&amp;E</w:t>
            </w:r>
            <w:r w:rsidR="3F1788A8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non-S&amp;T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)</w:t>
            </w:r>
          </w:p>
        </w:tc>
      </w:tr>
      <w:tr w:rsidR="00BF2CF7" w:rsidRPr="00322156" w14:paraId="4F269359" w14:textId="77777777" w:rsidTr="46524DD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5829E" w14:textId="6F32E830" w:rsidR="00BF2CF7" w:rsidRPr="00322156" w:rsidRDefault="00B33F62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Special Projects</w:t>
            </w:r>
          </w:p>
        </w:tc>
        <w:tc>
          <w:tcPr>
            <w:tcW w:w="49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54689" w14:textId="23848408" w:rsidR="00BF2CF7" w:rsidRPr="00322156" w:rsidRDefault="66F6067D" w:rsidP="581F9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581F919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This focus area t</w:t>
            </w:r>
            <w:r w:rsidR="63959012" w:rsidRPr="581F919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arget</w:t>
            </w:r>
            <w:r w:rsidRPr="581F919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</w:t>
            </w:r>
            <w:r w:rsidR="63959012" w:rsidRPr="581F919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submissions to execute </w:t>
            </w:r>
            <w:r w:rsidRPr="581F919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as </w:t>
            </w:r>
            <w:r w:rsidR="63959012" w:rsidRPr="581F919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special projects.</w:t>
            </w:r>
            <w:r w:rsidR="27761C24" w:rsidRPr="581F919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 Non-airbreathing power and energy solutions are sought.</w:t>
            </w:r>
          </w:p>
          <w:p w14:paraId="01CDAA5B" w14:textId="0BB4952B" w:rsidR="00BF2CF7" w:rsidRPr="00322156" w:rsidRDefault="00BF2CF7" w:rsidP="581F9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  <w:p w14:paraId="5800DC17" w14:textId="75D4E8CA" w:rsidR="00BF2CF7" w:rsidRPr="00322156" w:rsidRDefault="00BF2CF7" w:rsidP="581F9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  <w:p w14:paraId="20F0C0F1" w14:textId="0CD98DB5" w:rsidR="00BF2CF7" w:rsidRPr="00322156" w:rsidRDefault="00BF2CF7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</w:tr>
      <w:tr w:rsidR="004225E5" w:rsidRPr="00322156" w14:paraId="40D7D3B5" w14:textId="77777777" w:rsidTr="46524DD7">
        <w:tc>
          <w:tcPr>
            <w:tcW w:w="9090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E5C4D" w14:textId="11938EFF" w:rsidR="004225E5" w:rsidRPr="00322156" w:rsidRDefault="27C6B044" w:rsidP="0032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lastRenderedPageBreak/>
              <w:t>OEPF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(6.4 RDT&amp;E</w:t>
            </w:r>
            <w:r w:rsidR="79DA84DE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non-S&amp;T</w:t>
            </w:r>
            <w:r w:rsidR="0088019A" w:rsidRPr="46524DD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)</w:t>
            </w:r>
          </w:p>
        </w:tc>
      </w:tr>
      <w:tr w:rsidR="00BF2CF7" w:rsidRPr="00322156" w14:paraId="56DBCEBA" w14:textId="77777777" w:rsidTr="46524DD7">
        <w:tc>
          <w:tcPr>
            <w:tcW w:w="0" w:type="auto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673CC" w14:textId="447AC86B" w:rsidR="00BF2CF7" w:rsidRPr="00322156" w:rsidRDefault="00B33F62" w:rsidP="00E2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32215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OEPF</w:t>
            </w:r>
          </w:p>
        </w:tc>
        <w:tc>
          <w:tcPr>
            <w:tcW w:w="4949" w:type="dxa"/>
            <w:tcBorders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552F2" w14:textId="23200E0A" w:rsidR="00BF2CF7" w:rsidRPr="00322156" w:rsidRDefault="0088019A" w:rsidP="46524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This program validates mature, first-of-a-kind operational energy prototyping capabilities in realistic operational environments </w:t>
            </w:r>
            <w:r w:rsidR="0EA62F15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performing test, demonstration, and validation that </w:t>
            </w: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reduce</w:t>
            </w:r>
            <w:r w:rsidR="4CC28604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technical and programmatic risk and accelerate</w:t>
            </w:r>
            <w:r w:rsidR="28AA3E68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transitions into </w:t>
            </w:r>
            <w:r w:rsidR="0083218B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</w:t>
            </w: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rograms of </w:t>
            </w:r>
            <w:r w:rsidR="0083218B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</w:t>
            </w: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ecord</w:t>
            </w:r>
            <w:r w:rsidR="0083218B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 It d</w:t>
            </w: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emonstrates capabilities alongside operational units</w:t>
            </w:r>
            <w:r w:rsidR="042D63D6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</w:t>
            </w: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collect</w:t>
            </w:r>
            <w:r w:rsidR="6FC36081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ing</w:t>
            </w: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warfighter feedback under realistic</w:t>
            </w:r>
            <w:r w:rsidR="5AA2F391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/operational</w:t>
            </w:r>
            <w:r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conditions.</w:t>
            </w:r>
            <w:r w:rsidR="73938F3A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9931C65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OEPF supports </w:t>
            </w:r>
            <w:r w:rsidR="6F9F3BED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Program Objective Memorandum (</w:t>
            </w:r>
            <w:r w:rsidR="09931C65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POM</w:t>
            </w:r>
            <w:r w:rsidR="0DD734E0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)</w:t>
            </w:r>
            <w:r w:rsidR="09931C65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insertion, including narrative justification, Modeling, Simulation, and Analysis, and generation of</w:t>
            </w:r>
            <w:r w:rsidR="1CD37F2F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quality information</w:t>
            </w:r>
            <w:r w:rsidR="1489B67A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f</w:t>
            </w:r>
            <w:r w:rsidR="3441BB74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</w:t>
            </w:r>
            <w:r w:rsidR="1489B67A" w:rsidRPr="46524D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 senior leader decision-making.</w:t>
            </w:r>
          </w:p>
        </w:tc>
      </w:tr>
    </w:tbl>
    <w:p w14:paraId="7C9B8CAE" w14:textId="77777777" w:rsidR="00B44C9A" w:rsidRPr="00A61CC8" w:rsidRDefault="00B44C9A" w:rsidP="00B44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C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1619CC" w14:textId="77777777" w:rsidR="00DD0C4D" w:rsidRPr="00A61CC8" w:rsidRDefault="002B1086" w:rsidP="00DD0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>
        <w:pict w14:anchorId="3DA955AA">
          <v:rect id="Horizontal Line 3" o:spid="_x0000_s1028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64671538" w14:textId="0CECCAF5" w:rsidR="00B44C9A" w:rsidRPr="00A61CC8" w:rsidRDefault="00B44C9A" w:rsidP="00B44C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3.0 Solicitation</w:t>
      </w:r>
      <w:r w:rsidR="00771FF0">
        <w:rPr>
          <w:rFonts w:ascii="Times New Roman" w:eastAsia="Times New Roman" w:hAnsi="Times New Roman" w:cs="Times New Roman"/>
          <w:color w:val="1F1F1F"/>
          <w:sz w:val="24"/>
          <w:szCs w:val="24"/>
        </w:rPr>
        <w:t>, Submission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&amp; Evaluation Process</w:t>
      </w:r>
    </w:p>
    <w:p w14:paraId="61A5FCDA" w14:textId="310E6322" w:rsidR="00B44C9A" w:rsidRPr="00A61CC8" w:rsidRDefault="00B44C9A" w:rsidP="00B44C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This </w:t>
      </w:r>
      <w:r w:rsidR="00771FF0">
        <w:rPr>
          <w:rFonts w:ascii="Times New Roman" w:eastAsia="Times New Roman" w:hAnsi="Times New Roman" w:cs="Times New Roman"/>
          <w:color w:val="1F1F1F"/>
          <w:sz w:val="24"/>
          <w:szCs w:val="24"/>
        </w:rPr>
        <w:t>solicitation</w:t>
      </w:r>
      <w:r w:rsidR="00771FF0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for </w:t>
      </w:r>
      <w:r w:rsidR="0083218B">
        <w:rPr>
          <w:rFonts w:ascii="Times New Roman" w:eastAsia="Times New Roman" w:hAnsi="Times New Roman" w:cs="Times New Roman"/>
          <w:color w:val="1F1F1F"/>
          <w:sz w:val="24"/>
          <w:szCs w:val="24"/>
        </w:rPr>
        <w:t>innovations</w:t>
      </w:r>
      <w:r w:rsidR="004F66F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operates on a continuous basis, providing maximum flexibility for </w:t>
      </w:r>
      <w:r w:rsidR="005A04AE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submitters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37E22C89" w14:textId="457AC05E" w:rsidR="00B44C9A" w:rsidRPr="00A61CC8" w:rsidRDefault="00B44C9A" w:rsidP="00B44C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Open Submission Period:</w:t>
      </w:r>
      <w:r w:rsidR="003561D9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This announcement remains open</w:t>
      </w:r>
      <w:r w:rsidR="0083218B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continuously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7AD3487A" w14:textId="61C700DF" w:rsidR="00B44C9A" w:rsidRPr="00A61CC8" w:rsidRDefault="00B44C9A" w:rsidP="00B44C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Continuous Evaluation:</w:t>
      </w:r>
      <w:r w:rsidR="003561D9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The </w:t>
      </w:r>
      <w:r w:rsidR="005668E2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OE</w:t>
      </w:r>
      <w:r w:rsidR="007B001C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-I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team evaluates </w:t>
      </w:r>
      <w:r w:rsidR="0083218B">
        <w:rPr>
          <w:rFonts w:ascii="Times New Roman" w:eastAsia="Times New Roman" w:hAnsi="Times New Roman" w:cs="Times New Roman"/>
          <w:color w:val="1F1F1F"/>
          <w:sz w:val="24"/>
          <w:szCs w:val="24"/>
        </w:rPr>
        <w:t>innovations</w:t>
      </w:r>
      <w:r w:rsidR="004F66F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throughout the year, rather than holding submissions until a formal closing date.</w:t>
      </w:r>
    </w:p>
    <w:p w14:paraId="16905FD1" w14:textId="3EDCB2DF" w:rsidR="00B44C9A" w:rsidRPr="00A61CC8" w:rsidRDefault="6B21BC02" w:rsidP="40D04E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Quarterly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Initial Selection </w:t>
      </w:r>
      <w:r w:rsidR="0083218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and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Refinement</w:t>
      </w:r>
      <w:r w:rsidR="65ACCE5E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</w:t>
      </w:r>
      <w:r w:rsidR="0241D85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April, July, October, and January</w:t>
      </w:r>
      <w:r w:rsidR="65ACCE5E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)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:</w:t>
      </w:r>
      <w:r w:rsidR="003561D9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Upon finding a</w:t>
      </w:r>
      <w:r w:rsidR="0083218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n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83218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innovation </w:t>
      </w:r>
      <w:r w:rsidR="00D64EFB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submission </w:t>
      </w:r>
      <w:r w:rsidR="00282701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viable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and technically feasible, the </w:t>
      </w:r>
      <w:r w:rsidR="00282701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focus area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team contacts the </w:t>
      </w:r>
      <w:r w:rsidR="00282701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submitter 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directly. This action initiates a collaborative process for scope and cost refinement.</w:t>
      </w:r>
    </w:p>
    <w:p w14:paraId="51129C55" w14:textId="731130E3" w:rsidR="00282701" w:rsidRPr="00A61CC8" w:rsidRDefault="0083218B" w:rsidP="0032215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OE-I archives n</w:t>
      </w:r>
      <w:r w:rsidR="00282701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on-viable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innovations</w:t>
      </w:r>
      <w:r w:rsidR="00282701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3BB89331" w14:textId="1A962F20" w:rsidR="00B44C9A" w:rsidRPr="00A61CC8" w:rsidRDefault="00B44C9A" w:rsidP="46524DD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Award:</w:t>
      </w:r>
      <w:r w:rsidR="003561D9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Following successful refinement</w:t>
      </w:r>
      <w:r w:rsidR="007431FE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,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2A55BCA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prioritization, </w:t>
      </w:r>
      <w:r w:rsidR="001A0E58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OE-I</w:t>
      </w:r>
      <w:r w:rsidR="00282701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Director approval</w:t>
      </w:r>
      <w:r w:rsidR="625DC1F4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,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7431FE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and funding availability,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the government awards funding.</w:t>
      </w:r>
    </w:p>
    <w:p w14:paraId="32F39678" w14:textId="698ED655" w:rsidR="00B44C9A" w:rsidRPr="00A61CC8" w:rsidRDefault="002B1086" w:rsidP="002D6F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>
        <w:pict w14:anchorId="02F0E1A5">
          <v:rect id="Horizontal Line 4" o:spid="_x0000_s102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45E04100" w14:textId="77777777" w:rsidR="00B44C9A" w:rsidRPr="00A61CC8" w:rsidRDefault="00B44C9A" w:rsidP="00B44C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4.0 Submission Instructions</w:t>
      </w:r>
    </w:p>
    <w:p w14:paraId="472A7ACF" w14:textId="2E777B98" w:rsidR="00B44C9A" w:rsidRPr="00A61CC8" w:rsidRDefault="00210805" w:rsidP="46524DD7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Submitters upload all </w:t>
      </w:r>
      <w:r w:rsidR="00A90CB9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solutions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through the SAFiRE™ portal at cristlgov.com. </w:t>
      </w:r>
      <w:r w:rsidR="27BF217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The </w:t>
      </w:r>
      <w:r w:rsidR="006A4271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SAFiRE™</w:t>
      </w:r>
      <w:r w:rsidR="27BF217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form includes several basic questions and </w:t>
      </w:r>
      <w:r w:rsidR="6E9069A0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 </w:t>
      </w:r>
      <w:r w:rsidR="27BF217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field for uploading a </w:t>
      </w:r>
      <w:r w:rsidR="70596077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completed </w:t>
      </w:r>
      <w:r w:rsidR="27BF217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quad chart </w:t>
      </w:r>
      <w:r w:rsidR="09A74187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along with any other optional documents to support the submission</w:t>
      </w:r>
      <w:r w:rsidR="1EF803B1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.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See oecif.org for</w:t>
      </w:r>
      <w:r w:rsidR="00FB57D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instructions</w:t>
      </w:r>
      <w:r w:rsidR="00FB57D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on how to get started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. </w:t>
      </w:r>
      <w:r w:rsidR="00FB57D5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U</w:t>
      </w:r>
      <w:r w:rsidR="00B44C9A" w:rsidRPr="46524DD7">
        <w:rPr>
          <w:rFonts w:ascii="Times New Roman" w:eastAsia="Times New Roman" w:hAnsi="Times New Roman" w:cs="Times New Roman"/>
          <w:color w:val="1F1F1F"/>
          <w:sz w:val="24"/>
          <w:szCs w:val="24"/>
        </w:rPr>
        <w:t>se the designated section based on organization type:</w:t>
      </w:r>
    </w:p>
    <w:p w14:paraId="1AF543E9" w14:textId="7278DBB6" w:rsidR="00C169B3" w:rsidRPr="00A61CC8" w:rsidRDefault="002576B5" w:rsidP="00B44C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A3CBF">
        <w:rPr>
          <w:rFonts w:ascii="Times New Roman" w:eastAsia="Times New Roman" w:hAnsi="Times New Roman" w:cs="Times New Roman"/>
          <w:color w:val="1F1F1F"/>
          <w:sz w:val="24"/>
          <w:szCs w:val="24"/>
          <w:u w:val="single"/>
        </w:rPr>
        <w:t>Government Consultation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: </w:t>
      </w:r>
      <w:r w:rsidR="00C55A76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Government agencies</w:t>
      </w:r>
      <w:r w:rsidR="00005F1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 </w:t>
      </w:r>
      <w:r w:rsidR="00C55A76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laboratories </w:t>
      </w:r>
      <w:r w:rsidR="0064591D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upload submissions here</w:t>
      </w:r>
      <w:r w:rsidR="00C55A76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41E582E3" w14:textId="2191C36A" w:rsidR="00B44C9A" w:rsidRDefault="00B44C9A" w:rsidP="00B44C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A3CBF">
        <w:rPr>
          <w:rFonts w:ascii="Times New Roman" w:eastAsia="Times New Roman" w:hAnsi="Times New Roman" w:cs="Times New Roman"/>
          <w:color w:val="1F1F1F"/>
          <w:sz w:val="24"/>
          <w:szCs w:val="24"/>
          <w:u w:val="single"/>
        </w:rPr>
        <w:lastRenderedPageBreak/>
        <w:t xml:space="preserve">Industry </w:t>
      </w:r>
      <w:r w:rsidR="00BF0FD7" w:rsidRPr="003A3CBF">
        <w:rPr>
          <w:rFonts w:ascii="Times New Roman" w:eastAsia="Times New Roman" w:hAnsi="Times New Roman" w:cs="Times New Roman"/>
          <w:color w:val="1F1F1F"/>
          <w:sz w:val="24"/>
          <w:szCs w:val="24"/>
          <w:u w:val="single"/>
        </w:rPr>
        <w:t>Market Analysis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: </w:t>
      </w:r>
      <w:r w:rsidR="007A50F3">
        <w:rPr>
          <w:rFonts w:ascii="Times New Roman" w:eastAsia="Times New Roman" w:hAnsi="Times New Roman" w:cs="Times New Roman"/>
          <w:color w:val="1F1F1F"/>
          <w:sz w:val="24"/>
          <w:szCs w:val="24"/>
        </w:rPr>
        <w:t>Any other party with no current Government lead (</w:t>
      </w:r>
      <w:r w:rsidR="001F53FA">
        <w:rPr>
          <w:rFonts w:ascii="Times New Roman" w:eastAsia="Times New Roman" w:hAnsi="Times New Roman" w:cs="Times New Roman"/>
          <w:color w:val="1F1F1F"/>
          <w:sz w:val="24"/>
          <w:szCs w:val="24"/>
        </w:rPr>
        <w:t>c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ommercial entities, academic institutions, </w:t>
      </w:r>
      <w:r w:rsidR="00005F12">
        <w:rPr>
          <w:rFonts w:ascii="Times New Roman" w:eastAsia="Times New Roman" w:hAnsi="Times New Roman" w:cs="Times New Roman"/>
          <w:color w:val="1F1F1F"/>
          <w:sz w:val="24"/>
          <w:szCs w:val="24"/>
        </w:rPr>
        <w:t>f</w:t>
      </w:r>
      <w:r w:rsidR="00005F12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ederally </w:t>
      </w:r>
      <w:r w:rsidR="00005F12">
        <w:rPr>
          <w:rFonts w:ascii="Times New Roman" w:eastAsia="Times New Roman" w:hAnsi="Times New Roman" w:cs="Times New Roman"/>
          <w:color w:val="1F1F1F"/>
          <w:sz w:val="24"/>
          <w:szCs w:val="24"/>
        </w:rPr>
        <w:t>f</w:t>
      </w:r>
      <w:r w:rsidR="00005F12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unded </w:t>
      </w:r>
      <w:r w:rsidR="00005F12">
        <w:rPr>
          <w:rFonts w:ascii="Times New Roman" w:eastAsia="Times New Roman" w:hAnsi="Times New Roman" w:cs="Times New Roman"/>
          <w:color w:val="1F1F1F"/>
          <w:sz w:val="24"/>
          <w:szCs w:val="24"/>
        </w:rPr>
        <w:t>r</w:t>
      </w:r>
      <w:r w:rsidR="00005F12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esearch and </w:t>
      </w:r>
      <w:r w:rsidR="00005F12">
        <w:rPr>
          <w:rFonts w:ascii="Times New Roman" w:eastAsia="Times New Roman" w:hAnsi="Times New Roman" w:cs="Times New Roman"/>
          <w:color w:val="1F1F1F"/>
          <w:sz w:val="24"/>
          <w:szCs w:val="24"/>
        </w:rPr>
        <w:t>d</w:t>
      </w:r>
      <w:r w:rsidR="00005F12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evelopment </w:t>
      </w:r>
      <w:r w:rsidR="00005F12">
        <w:rPr>
          <w:rFonts w:ascii="Times New Roman" w:eastAsia="Times New Roman" w:hAnsi="Times New Roman" w:cs="Times New Roman"/>
          <w:color w:val="1F1F1F"/>
          <w:sz w:val="24"/>
          <w:szCs w:val="24"/>
        </w:rPr>
        <w:t>c</w:t>
      </w:r>
      <w:r w:rsidR="00005F12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enters</w:t>
      </w:r>
      <w:r w:rsidR="00005F1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and non-government organizations</w:t>
      </w:r>
      <w:r w:rsidR="001F53FA">
        <w:rPr>
          <w:rFonts w:ascii="Times New Roman" w:eastAsia="Times New Roman" w:hAnsi="Times New Roman" w:cs="Times New Roman"/>
          <w:color w:val="1F1F1F"/>
          <w:sz w:val="24"/>
          <w:szCs w:val="24"/>
        </w:rPr>
        <w:t>)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upload submissions </w:t>
      </w:r>
      <w:r w:rsidR="00BF0FD7"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here</w:t>
      </w:r>
      <w:r w:rsidRPr="00A61CC8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7B91A836" w14:textId="77777777" w:rsidR="002D3C49" w:rsidRDefault="002D3C49" w:rsidP="002D3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6F9DB228" w14:textId="77777777" w:rsidR="006957EA" w:rsidRPr="00A61CC8" w:rsidRDefault="002B1086" w:rsidP="0069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>
        <w:pict w14:anchorId="4E91DCAD">
          <v:rect id="Horizontal Line 5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64F394BB" w14:textId="77777777" w:rsidR="006957EA" w:rsidRDefault="006957EA" w:rsidP="002D3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54B7043C" w14:textId="5602D884" w:rsidR="006957EA" w:rsidRDefault="006957EA" w:rsidP="002D3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We appreciate your participation and look forward to </w:t>
      </w:r>
      <w:r w:rsidR="00D621E1">
        <w:rPr>
          <w:rFonts w:ascii="Times New Roman" w:eastAsia="Times New Roman" w:hAnsi="Times New Roman" w:cs="Times New Roman"/>
          <w:color w:val="1F1F1F"/>
          <w:sz w:val="24"/>
          <w:szCs w:val="24"/>
        </w:rPr>
        <w:t>working with you</w:t>
      </w:r>
      <w:r w:rsidR="00FB57D5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79D28AF7" w14:textId="77777777" w:rsidR="002D3C49" w:rsidRPr="00A61CC8" w:rsidRDefault="002D3C49" w:rsidP="002D3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CDB208C" w14:textId="77777777" w:rsidR="00887B34" w:rsidRPr="00A61CC8" w:rsidRDefault="00887B34">
      <w:pPr>
        <w:rPr>
          <w:rFonts w:ascii="Times New Roman" w:hAnsi="Times New Roman" w:cs="Times New Roman"/>
          <w:sz w:val="24"/>
          <w:szCs w:val="24"/>
        </w:rPr>
      </w:pPr>
    </w:p>
    <w:sectPr w:rsidR="00887B34" w:rsidRPr="00A61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DB102D5"/>
    <w:multiLevelType w:val="multilevel"/>
    <w:tmpl w:val="C27A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305FA2"/>
    <w:multiLevelType w:val="hybridMultilevel"/>
    <w:tmpl w:val="C29C7FC6"/>
    <w:lvl w:ilvl="0" w:tplc="E5661A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D6E38"/>
    <w:multiLevelType w:val="multilevel"/>
    <w:tmpl w:val="4B9E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2482018">
    <w:abstractNumId w:val="0"/>
  </w:num>
  <w:num w:numId="2" w16cid:durableId="657810620">
    <w:abstractNumId w:val="2"/>
  </w:num>
  <w:num w:numId="3" w16cid:durableId="96528190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9A"/>
    <w:rsid w:val="00005C0B"/>
    <w:rsid w:val="00005F12"/>
    <w:rsid w:val="000147B3"/>
    <w:rsid w:val="00017814"/>
    <w:rsid w:val="0001DDBC"/>
    <w:rsid w:val="0003709C"/>
    <w:rsid w:val="00071C04"/>
    <w:rsid w:val="00082BBB"/>
    <w:rsid w:val="0009032C"/>
    <w:rsid w:val="00094E05"/>
    <w:rsid w:val="00095A47"/>
    <w:rsid w:val="000B1B6B"/>
    <w:rsid w:val="00104869"/>
    <w:rsid w:val="00104EEC"/>
    <w:rsid w:val="00123AB8"/>
    <w:rsid w:val="00126C75"/>
    <w:rsid w:val="00160584"/>
    <w:rsid w:val="001762A4"/>
    <w:rsid w:val="001955FB"/>
    <w:rsid w:val="00196E2E"/>
    <w:rsid w:val="001A0E58"/>
    <w:rsid w:val="001A56F6"/>
    <w:rsid w:val="001B0E60"/>
    <w:rsid w:val="001B1FCE"/>
    <w:rsid w:val="001C42B8"/>
    <w:rsid w:val="001F53FA"/>
    <w:rsid w:val="00210805"/>
    <w:rsid w:val="002149E9"/>
    <w:rsid w:val="002576B5"/>
    <w:rsid w:val="00276D42"/>
    <w:rsid w:val="00282701"/>
    <w:rsid w:val="00287ECE"/>
    <w:rsid w:val="00292A4E"/>
    <w:rsid w:val="002941AD"/>
    <w:rsid w:val="002B1086"/>
    <w:rsid w:val="002B37AC"/>
    <w:rsid w:val="002C04B6"/>
    <w:rsid w:val="002D3C49"/>
    <w:rsid w:val="002D6F05"/>
    <w:rsid w:val="002E52D6"/>
    <w:rsid w:val="002F5703"/>
    <w:rsid w:val="00320AE7"/>
    <w:rsid w:val="00322156"/>
    <w:rsid w:val="00343AD6"/>
    <w:rsid w:val="003561D9"/>
    <w:rsid w:val="00360CF1"/>
    <w:rsid w:val="0037710A"/>
    <w:rsid w:val="00382B8D"/>
    <w:rsid w:val="003A3CBF"/>
    <w:rsid w:val="003A6CE0"/>
    <w:rsid w:val="003C6FDA"/>
    <w:rsid w:val="003D18E7"/>
    <w:rsid w:val="003D22BA"/>
    <w:rsid w:val="003D79BC"/>
    <w:rsid w:val="003F4F16"/>
    <w:rsid w:val="003F6061"/>
    <w:rsid w:val="00400E81"/>
    <w:rsid w:val="00411539"/>
    <w:rsid w:val="004225E5"/>
    <w:rsid w:val="004432AE"/>
    <w:rsid w:val="00460108"/>
    <w:rsid w:val="004858A3"/>
    <w:rsid w:val="00491C96"/>
    <w:rsid w:val="004A7C82"/>
    <w:rsid w:val="004B2521"/>
    <w:rsid w:val="004C3414"/>
    <w:rsid w:val="004F66FC"/>
    <w:rsid w:val="00507099"/>
    <w:rsid w:val="005668E2"/>
    <w:rsid w:val="00594EE9"/>
    <w:rsid w:val="005A01E3"/>
    <w:rsid w:val="005A04AE"/>
    <w:rsid w:val="005B3E41"/>
    <w:rsid w:val="005B5949"/>
    <w:rsid w:val="005B7FED"/>
    <w:rsid w:val="005D4663"/>
    <w:rsid w:val="005E5A49"/>
    <w:rsid w:val="00604779"/>
    <w:rsid w:val="0060714C"/>
    <w:rsid w:val="0062258E"/>
    <w:rsid w:val="0063111B"/>
    <w:rsid w:val="00632A11"/>
    <w:rsid w:val="0064591D"/>
    <w:rsid w:val="006538F7"/>
    <w:rsid w:val="00663749"/>
    <w:rsid w:val="00670D70"/>
    <w:rsid w:val="006957EA"/>
    <w:rsid w:val="006A4271"/>
    <w:rsid w:val="006C2BF6"/>
    <w:rsid w:val="006D0403"/>
    <w:rsid w:val="006E00F0"/>
    <w:rsid w:val="00707F1E"/>
    <w:rsid w:val="0072788B"/>
    <w:rsid w:val="007431FE"/>
    <w:rsid w:val="00771FF0"/>
    <w:rsid w:val="0077260C"/>
    <w:rsid w:val="007A3236"/>
    <w:rsid w:val="007A40AF"/>
    <w:rsid w:val="007A50F3"/>
    <w:rsid w:val="007B001C"/>
    <w:rsid w:val="007D484E"/>
    <w:rsid w:val="007E3FE4"/>
    <w:rsid w:val="007E739A"/>
    <w:rsid w:val="008001E9"/>
    <w:rsid w:val="00824884"/>
    <w:rsid w:val="0083218B"/>
    <w:rsid w:val="00842731"/>
    <w:rsid w:val="00872E54"/>
    <w:rsid w:val="00875097"/>
    <w:rsid w:val="0088019A"/>
    <w:rsid w:val="00880D70"/>
    <w:rsid w:val="00883A2C"/>
    <w:rsid w:val="00887B34"/>
    <w:rsid w:val="00893088"/>
    <w:rsid w:val="008B45F3"/>
    <w:rsid w:val="008D029B"/>
    <w:rsid w:val="008D22E1"/>
    <w:rsid w:val="008D363B"/>
    <w:rsid w:val="008E5586"/>
    <w:rsid w:val="009221B7"/>
    <w:rsid w:val="00934DB4"/>
    <w:rsid w:val="00944DE6"/>
    <w:rsid w:val="0095182F"/>
    <w:rsid w:val="00960F91"/>
    <w:rsid w:val="0096289A"/>
    <w:rsid w:val="009632C6"/>
    <w:rsid w:val="00976D65"/>
    <w:rsid w:val="00985643"/>
    <w:rsid w:val="00985F7D"/>
    <w:rsid w:val="009C1B66"/>
    <w:rsid w:val="009C33A4"/>
    <w:rsid w:val="009C35E2"/>
    <w:rsid w:val="009E0E52"/>
    <w:rsid w:val="00A10E31"/>
    <w:rsid w:val="00A221AA"/>
    <w:rsid w:val="00A571DD"/>
    <w:rsid w:val="00A61CC8"/>
    <w:rsid w:val="00A84F1B"/>
    <w:rsid w:val="00A90879"/>
    <w:rsid w:val="00A90CB9"/>
    <w:rsid w:val="00AC27C8"/>
    <w:rsid w:val="00AD195F"/>
    <w:rsid w:val="00AD2D8A"/>
    <w:rsid w:val="00AD5EDD"/>
    <w:rsid w:val="00AE0282"/>
    <w:rsid w:val="00AE0FA1"/>
    <w:rsid w:val="00AE7FE0"/>
    <w:rsid w:val="00AF28C3"/>
    <w:rsid w:val="00B208B9"/>
    <w:rsid w:val="00B21332"/>
    <w:rsid w:val="00B216B7"/>
    <w:rsid w:val="00B24CA2"/>
    <w:rsid w:val="00B33F62"/>
    <w:rsid w:val="00B44C9A"/>
    <w:rsid w:val="00BB293F"/>
    <w:rsid w:val="00BB5399"/>
    <w:rsid w:val="00BC0A92"/>
    <w:rsid w:val="00BE3591"/>
    <w:rsid w:val="00BF0FD7"/>
    <w:rsid w:val="00BF2CF7"/>
    <w:rsid w:val="00C0023A"/>
    <w:rsid w:val="00C169B3"/>
    <w:rsid w:val="00C34E49"/>
    <w:rsid w:val="00C45533"/>
    <w:rsid w:val="00C465A1"/>
    <w:rsid w:val="00C55A76"/>
    <w:rsid w:val="00C64D3B"/>
    <w:rsid w:val="00C75710"/>
    <w:rsid w:val="00C84C43"/>
    <w:rsid w:val="00CA4EA6"/>
    <w:rsid w:val="00CD30EF"/>
    <w:rsid w:val="00D140C1"/>
    <w:rsid w:val="00D16E3E"/>
    <w:rsid w:val="00D45078"/>
    <w:rsid w:val="00D621E1"/>
    <w:rsid w:val="00D64EFB"/>
    <w:rsid w:val="00D73CE7"/>
    <w:rsid w:val="00D87E38"/>
    <w:rsid w:val="00D904EE"/>
    <w:rsid w:val="00DA1FA3"/>
    <w:rsid w:val="00DB6789"/>
    <w:rsid w:val="00DC759E"/>
    <w:rsid w:val="00DD0C4D"/>
    <w:rsid w:val="00DE3E5C"/>
    <w:rsid w:val="00DE7230"/>
    <w:rsid w:val="00E2716E"/>
    <w:rsid w:val="00E62FEA"/>
    <w:rsid w:val="00E71A3D"/>
    <w:rsid w:val="00E73C27"/>
    <w:rsid w:val="00E84AAD"/>
    <w:rsid w:val="00EB142E"/>
    <w:rsid w:val="00EC7728"/>
    <w:rsid w:val="00ED5069"/>
    <w:rsid w:val="00EE528A"/>
    <w:rsid w:val="00F01864"/>
    <w:rsid w:val="00F817A8"/>
    <w:rsid w:val="00F90892"/>
    <w:rsid w:val="00FA28B3"/>
    <w:rsid w:val="00FB57D5"/>
    <w:rsid w:val="00FC6BA7"/>
    <w:rsid w:val="010D6AA1"/>
    <w:rsid w:val="011039E6"/>
    <w:rsid w:val="01E831E5"/>
    <w:rsid w:val="0241D85B"/>
    <w:rsid w:val="0288D6E1"/>
    <w:rsid w:val="030108A7"/>
    <w:rsid w:val="03703FF1"/>
    <w:rsid w:val="042D63D6"/>
    <w:rsid w:val="05119B44"/>
    <w:rsid w:val="05631107"/>
    <w:rsid w:val="05659B42"/>
    <w:rsid w:val="05A51B4E"/>
    <w:rsid w:val="05B5FE91"/>
    <w:rsid w:val="065C33F6"/>
    <w:rsid w:val="0676BDC8"/>
    <w:rsid w:val="073FB3C9"/>
    <w:rsid w:val="075B39E6"/>
    <w:rsid w:val="0979D8B7"/>
    <w:rsid w:val="09931C65"/>
    <w:rsid w:val="09A74187"/>
    <w:rsid w:val="09CD145D"/>
    <w:rsid w:val="0B500802"/>
    <w:rsid w:val="0B9A55EF"/>
    <w:rsid w:val="0D26B66A"/>
    <w:rsid w:val="0DD734E0"/>
    <w:rsid w:val="0DE13EE0"/>
    <w:rsid w:val="0DF4B3DE"/>
    <w:rsid w:val="0EA62F15"/>
    <w:rsid w:val="0FF63E11"/>
    <w:rsid w:val="1076B84A"/>
    <w:rsid w:val="10FFC6DE"/>
    <w:rsid w:val="11474D1F"/>
    <w:rsid w:val="11E7DA66"/>
    <w:rsid w:val="12ABD1E9"/>
    <w:rsid w:val="12AE6F46"/>
    <w:rsid w:val="13377C3A"/>
    <w:rsid w:val="133B4260"/>
    <w:rsid w:val="1418CBF4"/>
    <w:rsid w:val="1489B67A"/>
    <w:rsid w:val="14D9D9D6"/>
    <w:rsid w:val="15A1E2BB"/>
    <w:rsid w:val="15BBB5A4"/>
    <w:rsid w:val="1602D395"/>
    <w:rsid w:val="166AB1AC"/>
    <w:rsid w:val="16E72487"/>
    <w:rsid w:val="17FF765C"/>
    <w:rsid w:val="1808B365"/>
    <w:rsid w:val="186420EA"/>
    <w:rsid w:val="19A51EBD"/>
    <w:rsid w:val="1C2BDE25"/>
    <w:rsid w:val="1C3D2993"/>
    <w:rsid w:val="1CD37F2F"/>
    <w:rsid w:val="1D0EBFCE"/>
    <w:rsid w:val="1D70817F"/>
    <w:rsid w:val="1E2CEC9A"/>
    <w:rsid w:val="1EF803B1"/>
    <w:rsid w:val="1F62E4EC"/>
    <w:rsid w:val="1F633C0D"/>
    <w:rsid w:val="1FA7E8E4"/>
    <w:rsid w:val="1FAC7E4A"/>
    <w:rsid w:val="1FE767AA"/>
    <w:rsid w:val="208BDBDC"/>
    <w:rsid w:val="20A649EB"/>
    <w:rsid w:val="20F65CEB"/>
    <w:rsid w:val="231CA116"/>
    <w:rsid w:val="241C6F21"/>
    <w:rsid w:val="24308BD5"/>
    <w:rsid w:val="2631CC52"/>
    <w:rsid w:val="2641755D"/>
    <w:rsid w:val="267DAB69"/>
    <w:rsid w:val="26E80071"/>
    <w:rsid w:val="27761C24"/>
    <w:rsid w:val="278FBCF0"/>
    <w:rsid w:val="27BF217A"/>
    <w:rsid w:val="27BF8145"/>
    <w:rsid w:val="27C6B044"/>
    <w:rsid w:val="28AA3E68"/>
    <w:rsid w:val="28FF022B"/>
    <w:rsid w:val="292941CC"/>
    <w:rsid w:val="293DB498"/>
    <w:rsid w:val="2A55BCA5"/>
    <w:rsid w:val="2B7C383F"/>
    <w:rsid w:val="2BA83E47"/>
    <w:rsid w:val="2BFE775C"/>
    <w:rsid w:val="2C27A6F5"/>
    <w:rsid w:val="2C69FD48"/>
    <w:rsid w:val="2CEF2702"/>
    <w:rsid w:val="2D976E2A"/>
    <w:rsid w:val="2DA258D9"/>
    <w:rsid w:val="2E69909C"/>
    <w:rsid w:val="2F56ED30"/>
    <w:rsid w:val="317C8B53"/>
    <w:rsid w:val="31A4D00B"/>
    <w:rsid w:val="31B82239"/>
    <w:rsid w:val="31C3308B"/>
    <w:rsid w:val="3281A04C"/>
    <w:rsid w:val="3289DE4C"/>
    <w:rsid w:val="32FDFBCE"/>
    <w:rsid w:val="3441BB74"/>
    <w:rsid w:val="347217F7"/>
    <w:rsid w:val="34AD47EA"/>
    <w:rsid w:val="34F26005"/>
    <w:rsid w:val="351D91F8"/>
    <w:rsid w:val="352C8347"/>
    <w:rsid w:val="3661B507"/>
    <w:rsid w:val="36784DBD"/>
    <w:rsid w:val="38010B75"/>
    <w:rsid w:val="388779D3"/>
    <w:rsid w:val="38F87F0C"/>
    <w:rsid w:val="3B2174E1"/>
    <w:rsid w:val="3B412081"/>
    <w:rsid w:val="3B5A20FD"/>
    <w:rsid w:val="3BE889DB"/>
    <w:rsid w:val="3CC56CC8"/>
    <w:rsid w:val="3E0D7327"/>
    <w:rsid w:val="3E306F69"/>
    <w:rsid w:val="3E7EFC7A"/>
    <w:rsid w:val="3EBD1DD6"/>
    <w:rsid w:val="3F0FB168"/>
    <w:rsid w:val="3F1788A8"/>
    <w:rsid w:val="3F7CC2AE"/>
    <w:rsid w:val="3FE630BB"/>
    <w:rsid w:val="40D04E77"/>
    <w:rsid w:val="415B35D6"/>
    <w:rsid w:val="416C1103"/>
    <w:rsid w:val="417B4655"/>
    <w:rsid w:val="41CCD6F8"/>
    <w:rsid w:val="4416ECDB"/>
    <w:rsid w:val="44904BA0"/>
    <w:rsid w:val="450AC3C3"/>
    <w:rsid w:val="454ED55E"/>
    <w:rsid w:val="4563595F"/>
    <w:rsid w:val="46524DD7"/>
    <w:rsid w:val="478E8440"/>
    <w:rsid w:val="481F0880"/>
    <w:rsid w:val="48BE999F"/>
    <w:rsid w:val="4A4F6BB1"/>
    <w:rsid w:val="4A5CB7B7"/>
    <w:rsid w:val="4AAFC7F1"/>
    <w:rsid w:val="4AF6E2BB"/>
    <w:rsid w:val="4B59633C"/>
    <w:rsid w:val="4B64B694"/>
    <w:rsid w:val="4BC0EB8F"/>
    <w:rsid w:val="4C4765AA"/>
    <w:rsid w:val="4C7A2E9C"/>
    <w:rsid w:val="4CA71B98"/>
    <w:rsid w:val="4CC28604"/>
    <w:rsid w:val="4D458665"/>
    <w:rsid w:val="4D51BB2C"/>
    <w:rsid w:val="4DF8E5DF"/>
    <w:rsid w:val="4E100EFA"/>
    <w:rsid w:val="4E1149C9"/>
    <w:rsid w:val="4F62CC57"/>
    <w:rsid w:val="4FC16C29"/>
    <w:rsid w:val="50E6849C"/>
    <w:rsid w:val="51330FF3"/>
    <w:rsid w:val="52F843E7"/>
    <w:rsid w:val="5340DAE8"/>
    <w:rsid w:val="536BEA24"/>
    <w:rsid w:val="53C36D10"/>
    <w:rsid w:val="53DB427F"/>
    <w:rsid w:val="581F9196"/>
    <w:rsid w:val="5AA2F391"/>
    <w:rsid w:val="5B323352"/>
    <w:rsid w:val="5B44B4F2"/>
    <w:rsid w:val="5B55238A"/>
    <w:rsid w:val="5BADB0E2"/>
    <w:rsid w:val="5BC0F5E7"/>
    <w:rsid w:val="5C0E25CA"/>
    <w:rsid w:val="5C217057"/>
    <w:rsid w:val="5C5DEE11"/>
    <w:rsid w:val="5CD5536A"/>
    <w:rsid w:val="5DBB0704"/>
    <w:rsid w:val="5F1E04D8"/>
    <w:rsid w:val="60BAAA58"/>
    <w:rsid w:val="61024BE6"/>
    <w:rsid w:val="615DB253"/>
    <w:rsid w:val="61BFC8C9"/>
    <w:rsid w:val="625DC1F4"/>
    <w:rsid w:val="62BAC97B"/>
    <w:rsid w:val="62EBF199"/>
    <w:rsid w:val="6307ECE8"/>
    <w:rsid w:val="63952A4F"/>
    <w:rsid w:val="63959012"/>
    <w:rsid w:val="63DF764C"/>
    <w:rsid w:val="6463FA3F"/>
    <w:rsid w:val="65ACCE5E"/>
    <w:rsid w:val="66026AEE"/>
    <w:rsid w:val="6631AAB8"/>
    <w:rsid w:val="66F6067D"/>
    <w:rsid w:val="67EE267A"/>
    <w:rsid w:val="68965A3A"/>
    <w:rsid w:val="6973D36E"/>
    <w:rsid w:val="69A4697D"/>
    <w:rsid w:val="69EE6E2F"/>
    <w:rsid w:val="69FF9434"/>
    <w:rsid w:val="6A8B4836"/>
    <w:rsid w:val="6A976F0C"/>
    <w:rsid w:val="6ADCC355"/>
    <w:rsid w:val="6B21BC02"/>
    <w:rsid w:val="6BA7EC1E"/>
    <w:rsid w:val="6C375747"/>
    <w:rsid w:val="6DA89BED"/>
    <w:rsid w:val="6E129378"/>
    <w:rsid w:val="6E363516"/>
    <w:rsid w:val="6E9069A0"/>
    <w:rsid w:val="6EA1D865"/>
    <w:rsid w:val="6ECC3A3C"/>
    <w:rsid w:val="6F9F3BED"/>
    <w:rsid w:val="6FC36081"/>
    <w:rsid w:val="70596077"/>
    <w:rsid w:val="70E3B6E0"/>
    <w:rsid w:val="712768D3"/>
    <w:rsid w:val="71B066ED"/>
    <w:rsid w:val="72A3B455"/>
    <w:rsid w:val="73938F3A"/>
    <w:rsid w:val="74C8239B"/>
    <w:rsid w:val="74CF5CCB"/>
    <w:rsid w:val="75B6050D"/>
    <w:rsid w:val="75FFB390"/>
    <w:rsid w:val="784BA2DB"/>
    <w:rsid w:val="78870799"/>
    <w:rsid w:val="794EC673"/>
    <w:rsid w:val="79DA84DE"/>
    <w:rsid w:val="7A6EA08C"/>
    <w:rsid w:val="7A9381CE"/>
    <w:rsid w:val="7BC4C97F"/>
    <w:rsid w:val="7C38FEF6"/>
    <w:rsid w:val="7C537A57"/>
    <w:rsid w:val="7D932138"/>
    <w:rsid w:val="7E3D6FF1"/>
    <w:rsid w:val="7E7F710B"/>
    <w:rsid w:val="7FECE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34D3D79"/>
  <w15:chartTrackingRefBased/>
  <w15:docId w15:val="{B870511A-3714-4395-A268-79131829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4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4C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44C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B1F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6E"/>
    <w:rPr>
      <w:color w:val="605E5C"/>
      <w:shd w:val="clear" w:color="auto" w:fill="E1DFDD"/>
    </w:rPr>
  </w:style>
  <w:style w:type="paragraph" w:customStyle="1" w:styleId="Default">
    <w:name w:val="Default"/>
    <w:rsid w:val="003D7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0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D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7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B594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5B594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65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3E1CF0AA8B448BF664BDC25627049" ma:contentTypeVersion="14" ma:contentTypeDescription="Create a new document." ma:contentTypeScope="" ma:versionID="064f9053eebb09d1d2cc3eb95f8c6eff">
  <xsd:schema xmlns:xsd="http://www.w3.org/2001/XMLSchema" xmlns:xs="http://www.w3.org/2001/XMLSchema" xmlns:p="http://schemas.microsoft.com/office/2006/metadata/properties" xmlns:ns2="9b90ce69-d58a-4aa9-a6f8-fa52bd7a2466" xmlns:ns3="48d81fd3-2895-4456-9b54-63e01a050028" targetNamespace="http://schemas.microsoft.com/office/2006/metadata/properties" ma:root="true" ma:fieldsID="4fa06ba638ccafd4365e422e8080b4dc" ns2:_="" ns3:_="">
    <xsd:import namespace="9b90ce69-d58a-4aa9-a6f8-fa52bd7a2466"/>
    <xsd:import namespace="48d81fd3-2895-4456-9b54-63e01a050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ce69-d58a-4aa9-a6f8-fa52bd7a2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81fd3-2895-4456-9b54-63e01a050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ce8807-92e5-41e9-b6bb-9629b950b465}" ma:internalName="TaxCatchAll" ma:showField="CatchAllData" ma:web="48d81fd3-2895-4456-9b54-63e01a050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81fd3-2895-4456-9b54-63e01a050028" xsi:nil="true"/>
    <lcf76f155ced4ddcb4097134ff3c332f xmlns="9b90ce69-d58a-4aa9-a6f8-fa52bd7a24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4F5DCE-1561-4864-8F9E-ECBD2849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0ce69-d58a-4aa9-a6f8-fa52bd7a2466"/>
    <ds:schemaRef ds:uri="48d81fd3-2895-4456-9b54-63e01a050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7C821-15AC-431D-AB02-149F3B092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99E3B-9B8E-4C29-B8B7-C1E022DF6807}">
  <ds:schemaRefs>
    <ds:schemaRef ds:uri="http://schemas.microsoft.com/office/2006/metadata/properties"/>
    <ds:schemaRef ds:uri="http://schemas.microsoft.com/office/infopath/2007/PartnerControls"/>
    <ds:schemaRef ds:uri="48d81fd3-2895-4456-9b54-63e01a050028"/>
    <ds:schemaRef ds:uri="9b90ce69-d58a-4aa9-a6f8-fa52bd7a2466"/>
  </ds:schemaRefs>
</ds:datastoreItem>
</file>

<file path=docMetadata/LabelInfo.xml><?xml version="1.0" encoding="utf-8"?>
<clbl:labelList xmlns:clbl="http://schemas.microsoft.com/office/2020/mipLabelMetadata">
  <clbl:label id="{4a38a6d0-eeb4-4de8-bcf1-00f03c6986db}" enabled="1" method="Privileged" siteId="{102d0191-eeae-4761-b1cb-1a83e86ef445}" removed="0"/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1401</Words>
  <Characters>9332</Characters>
  <Application>Microsoft Office Word</Application>
  <DocSecurity>0</DocSecurity>
  <Lines>301</Lines>
  <Paragraphs>110</Paragraphs>
  <ScaleCrop>false</ScaleCrop>
  <Company>U.S. Department of Defense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Depuma, Christopher B CIV USN NRL WASHINGTON DC (USA)</dc:creator>
  <cp:keywords/>
  <dc:description/>
  <cp:lastModifiedBy>Margo Neidbalson</cp:lastModifiedBy>
  <cp:revision>3</cp:revision>
  <dcterms:created xsi:type="dcterms:W3CDTF">2026-07-06T15:38:00Z</dcterms:created>
  <dcterms:modified xsi:type="dcterms:W3CDTF">2026-07-06T15:43:00Z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0x010100E503E1CF0AA8B448BF664BDC25627049</vt:lpwstr>
  </property>
  <property fmtid="{D5CDD505-2E9C-101B-9397-08002B2CF9AE}" pid="3" name="MediaServiceImageTags">
    <vt:lpwstr/>
  </property>
</Properties>
</file>